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sz w:val="36"/>
          <w:szCs w:val="36"/>
        </w:rPr>
      </w:pPr>
      <w:r>
        <w:rPr>
          <w:rFonts w:hint="eastAsia" w:ascii="宋体" w:hAnsi="宋体" w:eastAsia="宋体" w:cs="宋体"/>
          <w:b/>
          <w:sz w:val="36"/>
          <w:szCs w:val="36"/>
        </w:rPr>
        <w:t>“安徽交通职业技术学院城信系牵引变电实训室项目”</w:t>
      </w:r>
    </w:p>
    <w:p>
      <w:pPr>
        <w:jc w:val="center"/>
        <w:rPr>
          <w:rFonts w:hint="eastAsia" w:ascii="宋体" w:hAnsi="宋体" w:eastAsia="宋体" w:cs="宋体"/>
          <w:b/>
          <w:color w:val="FF0000"/>
          <w:sz w:val="21"/>
          <w:szCs w:val="21"/>
        </w:rPr>
      </w:pPr>
      <w:r>
        <w:rPr>
          <w:rFonts w:hint="eastAsia" w:ascii="宋体" w:hAnsi="宋体" w:eastAsia="宋体" w:cs="宋体"/>
          <w:b/>
          <w:sz w:val="36"/>
          <w:szCs w:val="36"/>
        </w:rPr>
        <w:t>标前需求公示</w:t>
      </w:r>
      <w:bookmarkStart w:id="0" w:name="_GoBack"/>
      <w:bookmarkEnd w:id="0"/>
    </w:p>
    <w:p>
      <w:pPr>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（以下需求仅供参考，最终以招标文件为准）</w:t>
      </w: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5"/>
        <w:gridCol w:w="7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474" w:type="dxa"/>
            <w:noWrap w:val="0"/>
            <w:vAlign w:val="center"/>
          </w:tcPr>
          <w:p>
            <w:pPr>
              <w:spacing w:line="500" w:lineRule="exact"/>
              <w:rPr>
                <w:rFonts w:hint="eastAsia" w:ascii="宋体" w:hAnsi="宋体" w:eastAsia="宋体" w:cs="宋体"/>
                <w:b w:val="0"/>
                <w:bCs w:val="0"/>
                <w:color w:val="auto"/>
                <w:sz w:val="24"/>
                <w:szCs w:val="24"/>
                <w:lang w:eastAsia="zh-CN"/>
              </w:rPr>
            </w:pPr>
            <w:r>
              <w:rPr>
                <w:rFonts w:hint="eastAsia" w:ascii="宋体" w:hAnsi="宋体" w:eastAsia="宋体" w:cs="宋体"/>
                <w:sz w:val="24"/>
                <w:szCs w:val="22"/>
              </w:rPr>
              <w:t>安徽交通职业技术学院城信系牵引变电实训室项目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项目编号</w:t>
            </w:r>
          </w:p>
        </w:tc>
        <w:tc>
          <w:tcPr>
            <w:tcW w:w="7474" w:type="dxa"/>
            <w:noWrap w:val="0"/>
            <w:vAlign w:val="center"/>
          </w:tcPr>
          <w:p>
            <w:pPr>
              <w:spacing w:line="500" w:lineRule="exact"/>
              <w:rPr>
                <w:rFonts w:hint="eastAsia" w:ascii="宋体" w:hAnsi="宋体" w:eastAsia="宋体" w:cs="宋体"/>
                <w:b w:val="0"/>
                <w:bCs w:val="0"/>
                <w:color w:val="auto"/>
                <w:sz w:val="24"/>
                <w:szCs w:val="24"/>
                <w:lang w:eastAsia="zh-CN"/>
              </w:rPr>
            </w:pPr>
            <w:r>
              <w:rPr>
                <w:rFonts w:hint="eastAsia" w:ascii="宋体" w:hAnsi="宋体" w:eastAsia="宋体" w:cs="宋体"/>
                <w:sz w:val="24"/>
                <w:szCs w:val="22"/>
              </w:rPr>
              <w:t>院招第2021025号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项目预算</w:t>
            </w:r>
          </w:p>
        </w:tc>
        <w:tc>
          <w:tcPr>
            <w:tcW w:w="7474" w:type="dxa"/>
            <w:noWrap w:val="0"/>
            <w:vAlign w:val="center"/>
          </w:tcPr>
          <w:p>
            <w:pPr>
              <w:spacing w:line="500" w:lineRule="exact"/>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highlight w:val="none"/>
                <w:lang w:val="en-US" w:eastAsia="zh-CN"/>
              </w:rPr>
              <w:t>140万元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采购内容</w:t>
            </w:r>
          </w:p>
        </w:tc>
        <w:tc>
          <w:tcPr>
            <w:tcW w:w="7474" w:type="dxa"/>
            <w:noWrap w:val="0"/>
            <w:vAlign w:val="center"/>
          </w:tcPr>
          <w:p>
            <w:pP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安徽交通职业技术学院城信系牵引变电实训室项目，</w:t>
            </w:r>
            <w:r>
              <w:rPr>
                <w:rFonts w:hint="eastAsia" w:ascii="宋体" w:hAnsi="宋体" w:eastAsia="宋体" w:cs="宋体"/>
                <w:color w:val="auto"/>
                <w:sz w:val="24"/>
                <w:szCs w:val="24"/>
              </w:rPr>
              <w:t>详见</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需求</w:t>
            </w:r>
            <w:r>
              <w:rPr>
                <w:rFonts w:hint="eastAsia" w:ascii="宋体" w:hAnsi="宋体" w:eastAsia="宋体" w:cs="宋体"/>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资格</w:t>
            </w:r>
          </w:p>
        </w:tc>
        <w:tc>
          <w:tcPr>
            <w:tcW w:w="7474" w:type="dxa"/>
            <w:noWrap w:val="0"/>
            <w:vAlign w:val="center"/>
          </w:tcPr>
          <w:p>
            <w:pPr>
              <w:adjustRightInd w:val="0"/>
              <w:snapToGrid w:val="0"/>
              <w:spacing w:line="336" w:lineRule="auto"/>
              <w:ind w:firstLine="480" w:firstLineChars="200"/>
              <w:rPr>
                <w:rFonts w:ascii="宋体" w:hAnsi="宋体" w:eastAsia="宋体" w:cs="宋体"/>
                <w:sz w:val="24"/>
                <w:szCs w:val="22"/>
              </w:rPr>
            </w:pPr>
            <w:r>
              <w:rPr>
                <w:rFonts w:hint="eastAsia" w:ascii="宋体" w:hAnsi="宋体" w:eastAsia="宋体" w:cs="宋体"/>
                <w:sz w:val="24"/>
                <w:szCs w:val="22"/>
              </w:rPr>
              <w:t>1.满足《中华人民共和国政府采购法》第二十二条规定；</w:t>
            </w:r>
          </w:p>
          <w:p>
            <w:pPr>
              <w:adjustRightInd w:val="0"/>
              <w:snapToGrid w:val="0"/>
              <w:spacing w:line="336" w:lineRule="auto"/>
              <w:ind w:firstLine="480" w:firstLineChars="200"/>
              <w:rPr>
                <w:rFonts w:ascii="宋体" w:hAnsi="宋体"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.落实政府采购政策需满足的资格要求：无；</w:t>
            </w:r>
          </w:p>
          <w:p>
            <w:pPr>
              <w:adjustRightInd w:val="0"/>
              <w:snapToGrid w:val="0"/>
              <w:spacing w:line="336" w:lineRule="auto"/>
              <w:ind w:firstLine="480" w:firstLineChars="200"/>
              <w:rPr>
                <w:rFonts w:ascii="宋体" w:hAnsi="宋体" w:eastAsia="宋体" w:cs="宋体"/>
                <w:sz w:val="24"/>
                <w:szCs w:val="22"/>
              </w:rPr>
            </w:pPr>
            <w:r>
              <w:rPr>
                <w:rFonts w:ascii="宋体" w:hAnsi="宋体" w:eastAsia="宋体" w:cs="宋体"/>
                <w:sz w:val="24"/>
                <w:szCs w:val="22"/>
              </w:rPr>
              <w:t>3</w:t>
            </w:r>
            <w:r>
              <w:rPr>
                <w:rFonts w:hint="eastAsia" w:ascii="宋体" w:hAnsi="宋体" w:eastAsia="宋体" w:cs="宋体"/>
                <w:sz w:val="24"/>
                <w:szCs w:val="22"/>
              </w:rPr>
              <w:t>.本项目的特定资格要求：无；</w:t>
            </w:r>
          </w:p>
          <w:p>
            <w:pPr>
              <w:widowControl/>
              <w:adjustRightInd w:val="0"/>
              <w:snapToGrid w:val="0"/>
              <w:spacing w:line="336" w:lineRule="auto"/>
              <w:ind w:firstLine="480"/>
              <w:jc w:val="left"/>
              <w:rPr>
                <w:rFonts w:ascii="宋体" w:hAnsi="宋体" w:eastAsia="宋体" w:cs="Times New Roman"/>
                <w:kern w:val="0"/>
                <w:sz w:val="24"/>
                <w:szCs w:val="24"/>
              </w:rPr>
            </w:pPr>
            <w:r>
              <w:rPr>
                <w:rFonts w:ascii="宋体" w:hAnsi="宋体" w:eastAsia="宋体" w:cs="宋体"/>
                <w:kern w:val="0"/>
                <w:sz w:val="24"/>
                <w:szCs w:val="24"/>
              </w:rPr>
              <w:t>4</w:t>
            </w:r>
            <w:r>
              <w:rPr>
                <w:rFonts w:hint="eastAsia" w:ascii="宋体" w:hAnsi="宋体" w:eastAsia="宋体" w:cs="宋体"/>
                <w:kern w:val="0"/>
                <w:sz w:val="24"/>
                <w:szCs w:val="24"/>
              </w:rPr>
              <w:t>.</w:t>
            </w:r>
            <w:r>
              <w:rPr>
                <w:rFonts w:hint="eastAsia" w:ascii="宋体" w:hAnsi="宋体" w:eastAsia="宋体" w:cs="宋体"/>
                <w:color w:val="000000"/>
                <w:kern w:val="0"/>
                <w:sz w:val="24"/>
                <w:szCs w:val="24"/>
              </w:rPr>
              <w:t>供应商存在以下不良信用记录情形之一的,不得推荐为中标候选供应商,不得确定为中标供应商：</w:t>
            </w:r>
          </w:p>
          <w:p>
            <w:pPr>
              <w:widowControl/>
              <w:adjustRightInd w:val="0"/>
              <w:snapToGrid w:val="0"/>
              <w:spacing w:line="336" w:lineRule="auto"/>
              <w:ind w:firstLine="480"/>
              <w:jc w:val="left"/>
              <w:rPr>
                <w:rFonts w:ascii="宋体" w:hAnsi="宋体" w:eastAsia="宋体" w:cs="Times New Roman"/>
                <w:kern w:val="0"/>
                <w:sz w:val="24"/>
                <w:szCs w:val="24"/>
              </w:rPr>
            </w:pPr>
            <w:r>
              <w:rPr>
                <w:rFonts w:hint="eastAsia" w:ascii="宋体" w:hAnsi="宋体" w:eastAsia="宋体" w:cs="宋体"/>
                <w:color w:val="000000"/>
                <w:kern w:val="0"/>
                <w:sz w:val="24"/>
                <w:szCs w:val="24"/>
              </w:rPr>
              <w:t>（1）供应商被人民法院列入失信被执行人的；</w:t>
            </w:r>
          </w:p>
          <w:p>
            <w:pPr>
              <w:widowControl/>
              <w:adjustRightInd w:val="0"/>
              <w:snapToGrid w:val="0"/>
              <w:spacing w:line="336" w:lineRule="auto"/>
              <w:ind w:firstLine="480"/>
              <w:jc w:val="left"/>
              <w:rPr>
                <w:rFonts w:ascii="宋体" w:hAnsi="宋体" w:eastAsia="宋体" w:cs="Times New Roman"/>
                <w:kern w:val="0"/>
                <w:sz w:val="24"/>
                <w:szCs w:val="24"/>
              </w:rPr>
            </w:pPr>
            <w:r>
              <w:rPr>
                <w:rFonts w:hint="eastAsia" w:ascii="宋体" w:hAnsi="宋体" w:eastAsia="宋体" w:cs="宋体"/>
                <w:color w:val="000000"/>
                <w:kern w:val="0"/>
                <w:sz w:val="24"/>
                <w:szCs w:val="24"/>
              </w:rPr>
              <w:t>（2）供应商被市场监督管理部门（含工商行政管理部门）列入企业经营异常名录的；</w:t>
            </w:r>
          </w:p>
          <w:p>
            <w:pPr>
              <w:widowControl/>
              <w:adjustRightInd w:val="0"/>
              <w:snapToGrid w:val="0"/>
              <w:spacing w:line="336" w:lineRule="auto"/>
              <w:ind w:firstLine="480"/>
              <w:jc w:val="left"/>
              <w:rPr>
                <w:rFonts w:ascii="宋体" w:hAnsi="宋体" w:eastAsia="宋体" w:cs="Times New Roman"/>
                <w:kern w:val="0"/>
                <w:sz w:val="24"/>
                <w:szCs w:val="24"/>
              </w:rPr>
            </w:pPr>
            <w:r>
              <w:rPr>
                <w:rFonts w:hint="eastAsia" w:ascii="宋体" w:hAnsi="宋体" w:eastAsia="宋体" w:cs="宋体"/>
                <w:color w:val="000000"/>
                <w:kern w:val="0"/>
                <w:sz w:val="24"/>
                <w:szCs w:val="24"/>
              </w:rPr>
              <w:t>（3）供应商被税务部门列入重大税收违法案件当事人名单的；</w:t>
            </w:r>
          </w:p>
          <w:p>
            <w:pPr>
              <w:widowControl/>
              <w:adjustRightInd w:val="0"/>
              <w:snapToGrid w:val="0"/>
              <w:spacing w:line="336" w:lineRule="auto"/>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（4）供应商被政府采购监管部门列入政府采购严重违法失信行为记录名单的。</w:t>
            </w:r>
          </w:p>
          <w:p>
            <w:pPr>
              <w:autoSpaceDE w:val="0"/>
              <w:autoSpaceDN w:val="0"/>
              <w:adjustRightInd w:val="0"/>
              <w:spacing w:line="360" w:lineRule="auto"/>
              <w:ind w:firstLine="436" w:firstLineChars="182"/>
              <w:jc w:val="left"/>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2165" w:type="dxa"/>
            <w:noWrap w:val="0"/>
            <w:vAlign w:val="center"/>
          </w:tcPr>
          <w:p>
            <w:pPr>
              <w:pStyle w:val="9"/>
              <w:widowControl w:val="0"/>
              <w:spacing w:before="0" w:beforeAutospacing="0" w:after="0" w:afterAutospacing="0" w:line="360" w:lineRule="auto"/>
              <w:jc w:val="center"/>
              <w:rPr>
                <w:rFonts w:hint="eastAsia" w:ascii="宋体" w:hAnsi="宋体" w:eastAsia="宋体" w:cs="宋体"/>
                <w:color w:val="auto"/>
                <w:sz w:val="24"/>
                <w:szCs w:val="24"/>
              </w:rPr>
            </w:pPr>
            <w:r>
              <w:rPr>
                <w:rFonts w:hint="eastAsia" w:ascii="宋体" w:hAnsi="宋体" w:eastAsia="宋体"/>
                <w:b w:val="0"/>
                <w:color w:val="auto"/>
                <w:sz w:val="24"/>
              </w:rPr>
              <w:t>是否为专门面向中小企业采购</w:t>
            </w:r>
          </w:p>
        </w:tc>
        <w:tc>
          <w:tcPr>
            <w:tcW w:w="7474" w:type="dxa"/>
            <w:noWrap w:val="0"/>
            <w:vAlign w:val="center"/>
          </w:tcPr>
          <w:p>
            <w:pPr>
              <w:pStyle w:val="9"/>
              <w:widowControl w:val="0"/>
              <w:spacing w:before="0" w:beforeAutospacing="0" w:after="0" w:afterAutospacing="0" w:line="360" w:lineRule="auto"/>
              <w:jc w:val="both"/>
              <w:rPr>
                <w:rFonts w:hint="eastAsia" w:ascii="宋体" w:hAnsi="宋体" w:cs="宋体"/>
                <w:b/>
                <w:bCs/>
                <w:color w:val="auto"/>
                <w:sz w:val="24"/>
                <w:szCs w:val="24"/>
                <w:lang w:eastAsia="zh-CN"/>
              </w:rPr>
            </w:pPr>
            <w:r>
              <w:rPr>
                <w:rFonts w:hint="eastAsia" w:ascii="宋体" w:hAnsi="宋体" w:eastAsia="宋体"/>
                <w:b w:val="0"/>
                <w:color w:val="auto"/>
                <w:sz w:val="24"/>
              </w:rPr>
              <w:t xml:space="preserve">□是  </w:t>
            </w:r>
            <w:r>
              <w:rPr>
                <w:rFonts w:hint="eastAsia" w:ascii="宋体" w:hAnsi="宋体" w:eastAsia="宋体"/>
                <w:b w:val="0"/>
                <w:color w:val="auto"/>
                <w:sz w:val="24"/>
              </w:rPr>
              <w:sym w:font="Wingdings 2" w:char="0052"/>
            </w:r>
            <w:r>
              <w:rPr>
                <w:rFonts w:hint="eastAsia" w:ascii="宋体" w:hAnsi="宋体" w:eastAsia="宋体"/>
                <w:b w:val="0"/>
                <w:color w:val="auto"/>
                <w:sz w:val="24"/>
              </w:rPr>
              <w:t>否</w:t>
            </w:r>
            <w:r>
              <w:rPr>
                <w:rFonts w:hint="eastAsia" w:ascii="宋体" w:hAnsi="宋体" w:eastAsia="宋体"/>
                <w:b w:val="0"/>
                <w:color w:val="auto"/>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2165" w:type="dxa"/>
            <w:noWrap w:val="0"/>
            <w:vAlign w:val="center"/>
          </w:tcPr>
          <w:p>
            <w:pPr>
              <w:spacing w:line="360" w:lineRule="auto"/>
              <w:rPr>
                <w:rFonts w:ascii="宋体" w:hAnsi="宋体" w:eastAsia="宋体"/>
                <w:bCs/>
                <w:color w:val="auto"/>
                <w:kern w:val="0"/>
                <w:sz w:val="24"/>
                <w:szCs w:val="28"/>
              </w:rPr>
            </w:pPr>
            <w:r>
              <w:rPr>
                <w:rFonts w:hint="eastAsia" w:ascii="宋体" w:hAnsi="宋体" w:eastAsia="宋体"/>
                <w:bCs/>
                <w:color w:val="auto"/>
                <w:kern w:val="0"/>
                <w:sz w:val="24"/>
                <w:szCs w:val="28"/>
              </w:rPr>
              <w:t>是否允许大中型企业向小微企业分包</w:t>
            </w:r>
          </w:p>
          <w:p>
            <w:pPr>
              <w:pStyle w:val="9"/>
              <w:widowControl w:val="0"/>
              <w:spacing w:before="0" w:beforeAutospacing="0" w:after="0" w:afterAutospacing="0" w:line="360" w:lineRule="auto"/>
              <w:jc w:val="both"/>
              <w:rPr>
                <w:rFonts w:hint="eastAsia" w:ascii="宋体" w:hAnsi="宋体" w:eastAsia="宋体"/>
                <w:b w:val="0"/>
                <w:i/>
                <w:color w:val="auto"/>
                <w:sz w:val="24"/>
              </w:rPr>
            </w:pPr>
            <w:r>
              <w:rPr>
                <w:rFonts w:hint="eastAsia" w:ascii="宋体" w:hAnsi="宋体" w:eastAsia="宋体"/>
                <w:b w:val="0"/>
                <w:i/>
                <w:color w:val="auto"/>
                <w:sz w:val="24"/>
              </w:rPr>
              <w:t>（非专门面向中小企业采购项目及要求获得采购合同的供应商将采购项目中的一定比例分包给中小企业的项目适用）</w:t>
            </w:r>
          </w:p>
        </w:tc>
        <w:tc>
          <w:tcPr>
            <w:tcW w:w="7474" w:type="dxa"/>
            <w:noWrap w:val="0"/>
            <w:vAlign w:val="center"/>
          </w:tcPr>
          <w:p>
            <w:pPr>
              <w:pStyle w:val="9"/>
              <w:widowControl w:val="0"/>
              <w:spacing w:before="0" w:beforeAutospacing="0" w:after="0" w:afterAutospacing="0" w:line="360" w:lineRule="auto"/>
              <w:jc w:val="both"/>
              <w:rPr>
                <w:rFonts w:hint="eastAsia" w:ascii="宋体" w:hAnsi="宋体" w:eastAsia="宋体" w:cs="Times New Roman"/>
                <w:b w:val="0"/>
                <w:bCs w:val="0"/>
                <w:color w:val="auto"/>
                <w:kern w:val="2"/>
                <w:sz w:val="24"/>
                <w:szCs w:val="20"/>
                <w:lang w:val="en-US" w:eastAsia="zh-CN"/>
              </w:rPr>
            </w:pPr>
            <w:r>
              <w:rPr>
                <w:rFonts w:hint="eastAsia" w:ascii="宋体" w:hAnsi="宋体" w:eastAsia="宋体"/>
                <w:b w:val="0"/>
                <w:bCs w:val="0"/>
                <w:color w:val="auto"/>
                <w:sz w:val="24"/>
              </w:rPr>
              <w:t xml:space="preserve">□是  </w:t>
            </w:r>
            <w:r>
              <w:rPr>
                <w:rFonts w:ascii="宋体" w:hAnsi="宋体" w:eastAsia="宋体"/>
                <w:b w:val="0"/>
                <w:bCs w:val="0"/>
                <w:color w:val="auto"/>
                <w:sz w:val="24"/>
                <w:szCs w:val="24"/>
              </w:rPr>
              <w:sym w:font="Wingdings 2" w:char="0052"/>
            </w:r>
            <w:r>
              <w:rPr>
                <w:rFonts w:hint="eastAsia" w:ascii="宋体" w:hAnsi="宋体" w:eastAsia="宋体"/>
                <w:b w:val="0"/>
                <w:bCs w:val="0"/>
                <w:color w:val="auto"/>
                <w:sz w:val="24"/>
              </w:rPr>
              <w:t>否</w:t>
            </w:r>
            <w:r>
              <w:rPr>
                <w:rFonts w:hint="eastAsia" w:ascii="宋体" w:hAnsi="宋体" w:eastAsia="宋体"/>
                <w:b w:val="0"/>
                <w:bCs w:val="0"/>
                <w:color w:val="auto"/>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2165" w:type="dxa"/>
            <w:noWrap w:val="0"/>
            <w:vAlign w:val="center"/>
          </w:tcPr>
          <w:p>
            <w:pPr>
              <w:pStyle w:val="9"/>
              <w:widowControl w:val="0"/>
              <w:spacing w:before="0" w:beforeAutospacing="0" w:after="0" w:afterAutospacing="0" w:line="360" w:lineRule="auto"/>
              <w:jc w:val="both"/>
              <w:rPr>
                <w:rFonts w:ascii="宋体" w:hAnsi="宋体" w:eastAsia="宋体"/>
                <w:b w:val="0"/>
                <w:color w:val="auto"/>
                <w:sz w:val="24"/>
              </w:rPr>
            </w:pPr>
            <w:r>
              <w:rPr>
                <w:rFonts w:hint="eastAsia" w:ascii="宋体" w:hAnsi="宋体" w:eastAsia="宋体"/>
                <w:b w:val="0"/>
                <w:color w:val="auto"/>
                <w:sz w:val="24"/>
              </w:rPr>
              <w:t>报价扣除</w:t>
            </w:r>
          </w:p>
          <w:p>
            <w:pPr>
              <w:pStyle w:val="9"/>
              <w:widowControl w:val="0"/>
              <w:spacing w:before="0" w:beforeAutospacing="0" w:after="0" w:afterAutospacing="0" w:line="360" w:lineRule="auto"/>
              <w:jc w:val="both"/>
              <w:rPr>
                <w:rFonts w:hint="eastAsia" w:ascii="宋体" w:hAnsi="宋体" w:eastAsia="宋体" w:cs="宋体"/>
                <w:color w:val="auto"/>
                <w:sz w:val="24"/>
                <w:szCs w:val="24"/>
              </w:rPr>
            </w:pPr>
            <w:r>
              <w:rPr>
                <w:rFonts w:hint="eastAsia" w:ascii="宋体" w:hAnsi="宋体" w:eastAsia="宋体"/>
                <w:b w:val="0"/>
                <w:i/>
                <w:color w:val="auto"/>
                <w:sz w:val="24"/>
              </w:rPr>
              <w:t>（非专门面向中小企业采购项目适用）</w:t>
            </w:r>
          </w:p>
        </w:tc>
        <w:tc>
          <w:tcPr>
            <w:tcW w:w="7474" w:type="dxa"/>
            <w:noWrap w:val="0"/>
            <w:vAlign w:val="center"/>
          </w:tcPr>
          <w:p>
            <w:pPr>
              <w:spacing w:line="360" w:lineRule="auto"/>
              <w:rPr>
                <w:rFonts w:ascii="宋体" w:hAnsi="宋体" w:eastAsia="宋体" w:cs="Times New Roman"/>
                <w:bCs/>
                <w:color w:val="auto"/>
                <w:kern w:val="0"/>
                <w:sz w:val="24"/>
                <w:szCs w:val="28"/>
              </w:rPr>
            </w:pPr>
            <w:r>
              <w:rPr>
                <w:rFonts w:hint="eastAsia" w:ascii="宋体" w:hAnsi="宋体" w:eastAsia="宋体" w:cs="Times New Roman"/>
                <w:bCs/>
                <w:color w:val="auto"/>
                <w:kern w:val="0"/>
                <w:sz w:val="24"/>
                <w:szCs w:val="28"/>
              </w:rPr>
              <w:t>（1）</w:t>
            </w:r>
            <w:r>
              <w:rPr>
                <w:rFonts w:ascii="宋体" w:hAnsi="宋体" w:eastAsia="宋体" w:cs="Times New Roman"/>
                <w:bCs/>
                <w:color w:val="auto"/>
                <w:kern w:val="0"/>
                <w:sz w:val="24"/>
                <w:szCs w:val="28"/>
              </w:rPr>
              <w:t>小型和微型</w:t>
            </w:r>
            <w:r>
              <w:rPr>
                <w:rFonts w:hint="eastAsia" w:ascii="宋体" w:hAnsi="宋体" w:eastAsia="宋体" w:cs="Times New Roman"/>
                <w:bCs/>
                <w:color w:val="auto"/>
                <w:kern w:val="0"/>
                <w:sz w:val="24"/>
                <w:szCs w:val="28"/>
              </w:rPr>
              <w:t>企业价格扣除：</w:t>
            </w:r>
            <w:r>
              <w:rPr>
                <w:rFonts w:hint="eastAsia" w:ascii="宋体" w:hAnsi="宋体" w:cs="Times New Roman"/>
                <w:bCs/>
                <w:color w:val="auto"/>
                <w:kern w:val="0"/>
                <w:sz w:val="24"/>
                <w:szCs w:val="28"/>
                <w:u w:val="single"/>
                <w:lang w:val="en-US" w:eastAsia="zh-CN"/>
              </w:rPr>
              <w:t xml:space="preserve"> </w:t>
            </w:r>
            <w:r>
              <w:rPr>
                <w:rFonts w:hint="eastAsia" w:ascii="宋体" w:hAnsi="宋体" w:eastAsia="宋体" w:cs="Times New Roman"/>
                <w:bCs/>
                <w:color w:val="auto"/>
                <w:kern w:val="0"/>
                <w:sz w:val="24"/>
                <w:szCs w:val="28"/>
                <w:u w:val="single"/>
              </w:rPr>
              <w:t>6</w:t>
            </w:r>
            <w:r>
              <w:rPr>
                <w:rFonts w:hint="eastAsia" w:ascii="宋体" w:hAnsi="宋体" w:cs="Times New Roman"/>
                <w:bCs/>
                <w:color w:val="auto"/>
                <w:kern w:val="0"/>
                <w:sz w:val="24"/>
                <w:szCs w:val="28"/>
                <w:u w:val="single"/>
                <w:lang w:val="en-US" w:eastAsia="zh-CN"/>
              </w:rPr>
              <w:t xml:space="preserve"> </w:t>
            </w:r>
            <w:r>
              <w:rPr>
                <w:rFonts w:ascii="宋体" w:hAnsi="宋体" w:eastAsia="宋体" w:cs="Times New Roman"/>
                <w:bCs/>
                <w:color w:val="auto"/>
                <w:kern w:val="0"/>
                <w:sz w:val="24"/>
                <w:szCs w:val="28"/>
              </w:rPr>
              <w:t>%</w:t>
            </w:r>
            <w:r>
              <w:rPr>
                <w:rFonts w:hint="eastAsia" w:ascii="宋体" w:hAnsi="宋体" w:eastAsia="宋体" w:cs="Times New Roman"/>
                <w:bCs/>
                <w:color w:val="auto"/>
                <w:kern w:val="0"/>
                <w:sz w:val="24"/>
                <w:szCs w:val="28"/>
              </w:rPr>
              <w:t>。</w:t>
            </w:r>
          </w:p>
          <w:p>
            <w:pPr>
              <w:spacing w:line="360" w:lineRule="auto"/>
              <w:rPr>
                <w:rFonts w:ascii="宋体" w:hAnsi="宋体" w:eastAsia="宋体" w:cs="Times New Roman"/>
                <w:bCs/>
                <w:color w:val="auto"/>
                <w:kern w:val="0"/>
                <w:sz w:val="24"/>
                <w:szCs w:val="28"/>
              </w:rPr>
            </w:pPr>
            <w:r>
              <w:rPr>
                <w:rFonts w:hint="eastAsia" w:ascii="宋体" w:hAnsi="宋体" w:eastAsia="宋体" w:cs="Times New Roman"/>
                <w:bCs/>
                <w:color w:val="auto"/>
                <w:kern w:val="0"/>
                <w:sz w:val="24"/>
                <w:szCs w:val="28"/>
              </w:rPr>
              <w:t>（2）监狱企业价格扣除：</w:t>
            </w:r>
            <w:r>
              <w:rPr>
                <w:rFonts w:hint="eastAsia" w:ascii="宋体" w:hAnsi="宋体" w:eastAsia="宋体" w:cs="Times New Roman"/>
                <w:bCs/>
                <w:color w:val="auto"/>
                <w:kern w:val="0"/>
                <w:sz w:val="24"/>
                <w:szCs w:val="28"/>
                <w:u w:val="single"/>
              </w:rPr>
              <w:t>同</w:t>
            </w:r>
            <w:r>
              <w:rPr>
                <w:rFonts w:ascii="宋体" w:hAnsi="宋体" w:eastAsia="宋体" w:cs="Times New Roman"/>
                <w:bCs/>
                <w:color w:val="auto"/>
                <w:kern w:val="0"/>
                <w:sz w:val="24"/>
                <w:szCs w:val="28"/>
                <w:u w:val="single"/>
              </w:rPr>
              <w:t>小型和微型企业</w:t>
            </w:r>
            <w:r>
              <w:rPr>
                <w:rFonts w:hint="eastAsia" w:ascii="宋体" w:hAnsi="宋体" w:eastAsia="宋体" w:cs="Times New Roman"/>
                <w:bCs/>
                <w:color w:val="auto"/>
                <w:kern w:val="0"/>
                <w:sz w:val="24"/>
                <w:szCs w:val="28"/>
              </w:rPr>
              <w:t>。</w:t>
            </w:r>
          </w:p>
          <w:p>
            <w:pPr>
              <w:spacing w:line="360" w:lineRule="auto"/>
              <w:rPr>
                <w:rFonts w:ascii="宋体" w:hAnsi="宋体" w:eastAsia="宋体" w:cs="Times New Roman"/>
                <w:bCs/>
                <w:color w:val="auto"/>
                <w:kern w:val="0"/>
                <w:sz w:val="24"/>
                <w:szCs w:val="28"/>
              </w:rPr>
            </w:pPr>
            <w:r>
              <w:rPr>
                <w:rFonts w:hint="eastAsia" w:ascii="宋体" w:hAnsi="宋体" w:eastAsia="宋体" w:cs="Times New Roman"/>
                <w:bCs/>
                <w:color w:val="auto"/>
                <w:kern w:val="0"/>
                <w:sz w:val="24"/>
                <w:szCs w:val="28"/>
              </w:rPr>
              <w:t>（3）残疾人福利性单位价格扣除：</w:t>
            </w:r>
            <w:r>
              <w:rPr>
                <w:rFonts w:hint="eastAsia" w:ascii="宋体" w:hAnsi="宋体" w:eastAsia="宋体" w:cs="Times New Roman"/>
                <w:bCs/>
                <w:color w:val="auto"/>
                <w:kern w:val="0"/>
                <w:sz w:val="24"/>
                <w:szCs w:val="28"/>
                <w:u w:val="single"/>
              </w:rPr>
              <w:t>同</w:t>
            </w:r>
            <w:r>
              <w:rPr>
                <w:rFonts w:ascii="宋体" w:hAnsi="宋体" w:eastAsia="宋体" w:cs="Times New Roman"/>
                <w:bCs/>
                <w:color w:val="auto"/>
                <w:kern w:val="0"/>
                <w:sz w:val="24"/>
                <w:szCs w:val="28"/>
                <w:u w:val="single"/>
              </w:rPr>
              <w:t>小型和微型企业</w:t>
            </w:r>
            <w:r>
              <w:rPr>
                <w:rFonts w:hint="eastAsia" w:ascii="宋体" w:hAnsi="宋体" w:eastAsia="宋体" w:cs="Times New Roman"/>
                <w:bCs/>
                <w:color w:val="auto"/>
                <w:kern w:val="0"/>
                <w:sz w:val="24"/>
                <w:szCs w:val="28"/>
              </w:rPr>
              <w:t>。</w:t>
            </w:r>
          </w:p>
          <w:p>
            <w:pPr>
              <w:spacing w:line="360" w:lineRule="auto"/>
              <w:rPr>
                <w:rFonts w:ascii="宋体" w:hAnsi="宋体" w:eastAsia="宋体" w:cs="Times New Roman"/>
                <w:bCs/>
                <w:color w:val="auto"/>
                <w:kern w:val="0"/>
                <w:sz w:val="24"/>
                <w:szCs w:val="28"/>
              </w:rPr>
            </w:pPr>
            <w:r>
              <w:rPr>
                <w:rFonts w:hint="eastAsia" w:ascii="宋体" w:hAnsi="宋体" w:eastAsia="宋体" w:cs="Times New Roman"/>
                <w:bCs/>
                <w:color w:val="auto"/>
                <w:kern w:val="0"/>
                <w:sz w:val="24"/>
                <w:szCs w:val="28"/>
              </w:rPr>
              <w:t>（4）符合条件的联合体价格扣除：</w:t>
            </w:r>
            <w:r>
              <w:rPr>
                <w:rFonts w:hint="eastAsia" w:ascii="宋体" w:hAnsi="宋体" w:cs="Times New Roman"/>
                <w:bCs/>
                <w:color w:val="auto"/>
                <w:kern w:val="0"/>
                <w:sz w:val="24"/>
                <w:szCs w:val="28"/>
                <w:u w:val="single"/>
                <w:lang w:val="en-US" w:eastAsia="zh-CN"/>
              </w:rPr>
              <w:t xml:space="preserve"> / </w:t>
            </w:r>
            <w:r>
              <w:rPr>
                <w:rFonts w:ascii="宋体" w:hAnsi="宋体" w:eastAsia="宋体" w:cs="Times New Roman"/>
                <w:bCs/>
                <w:color w:val="auto"/>
                <w:kern w:val="0"/>
                <w:sz w:val="24"/>
                <w:szCs w:val="28"/>
              </w:rPr>
              <w:t>%</w:t>
            </w:r>
            <w:r>
              <w:rPr>
                <w:rFonts w:hint="eastAsia" w:ascii="宋体" w:hAnsi="宋体" w:eastAsia="宋体" w:cs="Times New Roman"/>
                <w:bCs/>
                <w:color w:val="auto"/>
                <w:kern w:val="0"/>
                <w:sz w:val="24"/>
                <w:szCs w:val="28"/>
              </w:rPr>
              <w:t>。</w:t>
            </w:r>
          </w:p>
          <w:p>
            <w:pPr>
              <w:pStyle w:val="9"/>
              <w:widowControl w:val="0"/>
              <w:spacing w:before="0" w:beforeAutospacing="0" w:after="0" w:afterAutospacing="0" w:line="360" w:lineRule="auto"/>
              <w:jc w:val="both"/>
              <w:rPr>
                <w:rFonts w:hint="eastAsia" w:ascii="宋体" w:hAnsi="宋体" w:cs="宋体"/>
                <w:b/>
                <w:bCs/>
                <w:color w:val="auto"/>
                <w:sz w:val="24"/>
                <w:szCs w:val="24"/>
                <w:lang w:eastAsia="zh-CN"/>
              </w:rPr>
            </w:pPr>
            <w:r>
              <w:rPr>
                <w:rFonts w:hint="eastAsia" w:ascii="宋体" w:hAnsi="宋体" w:eastAsia="宋体" w:cs="Times New Roman"/>
                <w:b w:val="0"/>
                <w:bCs w:val="0"/>
                <w:color w:val="auto"/>
                <w:kern w:val="2"/>
                <w:sz w:val="24"/>
                <w:szCs w:val="20"/>
              </w:rPr>
              <w:t>（5）符合条件的向小微企业分包的大中型企业价格扣除：</w:t>
            </w:r>
            <w:r>
              <w:rPr>
                <w:rFonts w:hint="eastAsia" w:ascii="宋体" w:hAnsi="宋体" w:cs="Times New Roman"/>
                <w:bCs/>
                <w:color w:val="auto"/>
                <w:kern w:val="0"/>
                <w:sz w:val="24"/>
                <w:szCs w:val="28"/>
                <w:u w:val="single"/>
                <w:lang w:val="en-US" w:eastAsia="zh-CN"/>
              </w:rPr>
              <w:t xml:space="preserve"> </w:t>
            </w:r>
            <w:r>
              <w:rPr>
                <w:rFonts w:hint="eastAsia" w:ascii="宋体" w:hAnsi="宋体" w:cs="Times New Roman"/>
                <w:b w:val="0"/>
                <w:bCs w:val="0"/>
                <w:color w:val="auto"/>
                <w:kern w:val="0"/>
                <w:sz w:val="24"/>
                <w:szCs w:val="28"/>
                <w:u w:val="single"/>
                <w:lang w:val="en-US" w:eastAsia="zh-CN"/>
              </w:rPr>
              <w:t>/</w:t>
            </w:r>
            <w:r>
              <w:rPr>
                <w:rFonts w:hint="eastAsia" w:ascii="宋体" w:hAnsi="宋体" w:cs="Times New Roman"/>
                <w:bCs/>
                <w:color w:val="auto"/>
                <w:kern w:val="0"/>
                <w:sz w:val="24"/>
                <w:szCs w:val="28"/>
                <w:u w:val="single"/>
                <w:lang w:val="en-US" w:eastAsia="zh-CN"/>
              </w:rPr>
              <w:t xml:space="preserve"> </w:t>
            </w:r>
            <w:r>
              <w:rPr>
                <w:rFonts w:ascii="宋体" w:hAnsi="宋体" w:eastAsia="宋体" w:cs="Times New Roman"/>
                <w:b w:val="0"/>
                <w:bCs w:val="0"/>
                <w:color w:val="auto"/>
                <w:kern w:val="2"/>
                <w:sz w:val="24"/>
                <w:szCs w:val="20"/>
              </w:rPr>
              <w:t>%</w:t>
            </w:r>
            <w:r>
              <w:rPr>
                <w:rFonts w:hint="eastAsia" w:ascii="宋体" w:hAnsi="宋体" w:eastAsia="宋体" w:cs="Times New Roman"/>
                <w:b w:val="0"/>
                <w:bCs w:val="0"/>
                <w:color w:val="auto"/>
                <w:kern w:val="2"/>
                <w:sz w:val="24"/>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2165" w:type="dxa"/>
            <w:noWrap w:val="0"/>
            <w:vAlign w:val="center"/>
          </w:tcPr>
          <w:p>
            <w:pPr>
              <w:pStyle w:val="9"/>
              <w:widowControl w:val="0"/>
              <w:spacing w:before="0" w:beforeAutospacing="0" w:after="0" w:afterAutospacing="0" w:line="360" w:lineRule="auto"/>
              <w:jc w:val="both"/>
              <w:rPr>
                <w:rFonts w:hint="eastAsia" w:ascii="宋体" w:hAnsi="宋体" w:eastAsia="宋体" w:cs="宋体"/>
                <w:color w:val="auto"/>
                <w:sz w:val="24"/>
                <w:szCs w:val="24"/>
                <w:lang w:eastAsia="zh-CN"/>
              </w:rPr>
            </w:pPr>
            <w:r>
              <w:rPr>
                <w:rFonts w:hint="eastAsia" w:ascii="宋体" w:hAnsi="宋体" w:eastAsia="宋体"/>
                <w:b w:val="0"/>
                <w:color w:val="auto"/>
                <w:sz w:val="24"/>
              </w:rPr>
              <w:t>履约保证金</w:t>
            </w:r>
          </w:p>
        </w:tc>
        <w:tc>
          <w:tcPr>
            <w:tcW w:w="7474" w:type="dxa"/>
            <w:noWrap w:val="0"/>
            <w:vAlign w:val="center"/>
          </w:tcPr>
          <w:p>
            <w:pPr>
              <w:pStyle w:val="9"/>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（1）金额：</w:t>
            </w:r>
          </w:p>
          <w:p>
            <w:pPr>
              <w:pStyle w:val="9"/>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t>□</w:t>
            </w:r>
            <w:r>
              <w:rPr>
                <w:rFonts w:hint="eastAsia" w:ascii="宋体" w:hAnsi="宋体" w:eastAsia="宋体"/>
                <w:b w:val="0"/>
                <w:sz w:val="24"/>
              </w:rPr>
              <w:t>免收</w:t>
            </w:r>
          </w:p>
          <w:p>
            <w:pPr>
              <w:pStyle w:val="9"/>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sym w:font="Wingdings 2" w:char="0052"/>
            </w:r>
            <w:r>
              <w:rPr>
                <w:rFonts w:hint="eastAsia" w:ascii="宋体" w:hAnsi="宋体" w:eastAsia="宋体"/>
                <w:b w:val="0"/>
                <w:sz w:val="24"/>
              </w:rPr>
              <w:t>合同价的</w:t>
            </w:r>
            <w:r>
              <w:rPr>
                <w:rFonts w:hint="eastAsia" w:ascii="宋体" w:hAnsi="宋体" w:eastAsia="宋体"/>
                <w:b w:val="0"/>
                <w:sz w:val="24"/>
                <w:u w:val="single"/>
              </w:rPr>
              <w:t>3</w:t>
            </w:r>
            <w:r>
              <w:rPr>
                <w:rFonts w:ascii="宋体" w:hAnsi="宋体" w:eastAsia="宋体"/>
                <w:b w:val="0"/>
                <w:sz w:val="24"/>
              </w:rPr>
              <w:t>%</w:t>
            </w:r>
          </w:p>
          <w:p>
            <w:pPr>
              <w:pStyle w:val="9"/>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t>□</w:t>
            </w:r>
            <w:r>
              <w:rPr>
                <w:rFonts w:hint="eastAsia" w:ascii="宋体" w:hAnsi="宋体" w:eastAsia="宋体"/>
                <w:b w:val="0"/>
                <w:sz w:val="24"/>
              </w:rPr>
              <w:t>定额收取：人民币</w:t>
            </w:r>
            <w:r>
              <w:rPr>
                <w:rFonts w:hint="eastAsia" w:ascii="宋体" w:hAnsi="宋体" w:eastAsia="宋体"/>
                <w:b w:val="0"/>
                <w:sz w:val="24"/>
                <w:u w:val="single"/>
              </w:rPr>
              <w:t xml:space="preserve">       /       </w:t>
            </w:r>
            <w:r>
              <w:rPr>
                <w:rFonts w:hint="eastAsia" w:ascii="宋体" w:hAnsi="宋体" w:eastAsia="宋体"/>
                <w:b w:val="0"/>
                <w:sz w:val="24"/>
              </w:rPr>
              <w:t>元</w:t>
            </w:r>
          </w:p>
          <w:p>
            <w:pPr>
              <w:spacing w:line="360" w:lineRule="auto"/>
              <w:rPr>
                <w:rFonts w:ascii="宋体" w:hAnsi="宋体" w:eastAsia="宋体"/>
                <w:bCs/>
                <w:kern w:val="0"/>
                <w:sz w:val="24"/>
                <w:szCs w:val="28"/>
              </w:rPr>
            </w:pPr>
            <w:r>
              <w:rPr>
                <w:rFonts w:hint="eastAsia" w:ascii="宋体" w:hAnsi="宋体" w:eastAsia="宋体"/>
                <w:bCs/>
                <w:kern w:val="0"/>
                <w:sz w:val="24"/>
                <w:szCs w:val="28"/>
              </w:rPr>
              <w:t>（2）支付方式：</w:t>
            </w:r>
          </w:p>
          <w:p>
            <w:pPr>
              <w:spacing w:line="360" w:lineRule="auto"/>
              <w:rPr>
                <w:rFonts w:ascii="宋体" w:hAnsi="宋体" w:eastAsia="宋体"/>
                <w:bCs/>
                <w:kern w:val="0"/>
                <w:sz w:val="24"/>
                <w:szCs w:val="28"/>
              </w:rPr>
            </w:pPr>
            <w:r>
              <w:rPr>
                <w:rFonts w:hint="eastAsia" w:ascii="宋体" w:hAnsi="宋体" w:eastAsia="宋体"/>
                <w:bCs/>
                <w:kern w:val="0"/>
                <w:sz w:val="24"/>
                <w:szCs w:val="28"/>
              </w:rPr>
              <w:sym w:font="Wingdings 2" w:char="0052"/>
            </w:r>
            <w:r>
              <w:rPr>
                <w:rFonts w:ascii="宋体" w:hAnsi="宋体" w:eastAsia="宋体"/>
                <w:bCs/>
                <w:kern w:val="0"/>
                <w:sz w:val="24"/>
                <w:szCs w:val="28"/>
              </w:rPr>
              <w:t>转账/电汇</w:t>
            </w:r>
            <w:r>
              <w:rPr>
                <w:rFonts w:hint="eastAsia" w:ascii="宋体" w:hAnsi="宋体" w:eastAsia="宋体"/>
                <w:bCs/>
                <w:kern w:val="0"/>
                <w:sz w:val="24"/>
                <w:szCs w:val="28"/>
              </w:rPr>
              <w:t xml:space="preserve"> </w:t>
            </w:r>
            <w:r>
              <w:rPr>
                <w:rFonts w:hint="eastAsia" w:ascii="宋体" w:hAnsi="宋体" w:eastAsia="宋体"/>
                <w:bCs/>
                <w:kern w:val="0"/>
                <w:sz w:val="24"/>
                <w:szCs w:val="28"/>
              </w:rPr>
              <w:sym w:font="Wingdings 2" w:char="0052"/>
            </w:r>
            <w:r>
              <w:rPr>
                <w:rFonts w:ascii="宋体" w:hAnsi="宋体" w:eastAsia="宋体"/>
                <w:bCs/>
                <w:kern w:val="0"/>
                <w:sz w:val="24"/>
                <w:szCs w:val="28"/>
              </w:rPr>
              <w:t xml:space="preserve">支票 </w:t>
            </w:r>
            <w:r>
              <w:rPr>
                <w:rFonts w:hint="eastAsia" w:ascii="宋体" w:hAnsi="宋体" w:eastAsia="宋体"/>
                <w:bCs/>
                <w:kern w:val="0"/>
                <w:sz w:val="24"/>
                <w:szCs w:val="28"/>
              </w:rPr>
              <w:sym w:font="Wingdings 2" w:char="0052"/>
            </w:r>
            <w:r>
              <w:rPr>
                <w:rFonts w:ascii="宋体" w:hAnsi="宋体" w:eastAsia="宋体"/>
                <w:bCs/>
                <w:kern w:val="0"/>
                <w:sz w:val="24"/>
                <w:szCs w:val="28"/>
              </w:rPr>
              <w:t>汇票</w:t>
            </w:r>
            <w:r>
              <w:rPr>
                <w:rFonts w:hint="eastAsia" w:ascii="宋体" w:hAnsi="宋体" w:eastAsia="宋体"/>
                <w:bCs/>
                <w:kern w:val="0"/>
                <w:sz w:val="24"/>
                <w:szCs w:val="28"/>
              </w:rPr>
              <w:t xml:space="preserve"> </w:t>
            </w:r>
            <w:r>
              <w:rPr>
                <w:rFonts w:hint="eastAsia" w:ascii="宋体" w:hAnsi="宋体" w:eastAsia="宋体"/>
                <w:bCs/>
                <w:kern w:val="0"/>
                <w:sz w:val="24"/>
                <w:szCs w:val="28"/>
              </w:rPr>
              <w:sym w:font="Wingdings 2" w:char="0052"/>
            </w:r>
            <w:r>
              <w:rPr>
                <w:rFonts w:hint="eastAsia" w:ascii="宋体" w:hAnsi="宋体" w:eastAsia="宋体"/>
                <w:bCs/>
                <w:kern w:val="0"/>
                <w:sz w:val="24"/>
                <w:szCs w:val="28"/>
              </w:rPr>
              <w:t xml:space="preserve">本票 </w:t>
            </w:r>
            <w:r>
              <w:rPr>
                <w:rFonts w:hint="eastAsia" w:ascii="宋体" w:hAnsi="宋体" w:eastAsia="宋体"/>
                <w:bCs/>
                <w:kern w:val="0"/>
                <w:sz w:val="24"/>
                <w:szCs w:val="28"/>
              </w:rPr>
              <w:sym w:font="Wingdings 2" w:char="0052"/>
            </w:r>
            <w:r>
              <w:rPr>
                <w:rFonts w:hint="eastAsia" w:ascii="宋体" w:hAnsi="宋体" w:eastAsia="宋体"/>
                <w:bCs/>
                <w:kern w:val="0"/>
                <w:sz w:val="24"/>
                <w:szCs w:val="28"/>
              </w:rPr>
              <w:t>保</w:t>
            </w:r>
            <w:r>
              <w:rPr>
                <w:rFonts w:ascii="宋体" w:hAnsi="宋体" w:eastAsia="宋体"/>
                <w:bCs/>
                <w:kern w:val="0"/>
                <w:sz w:val="24"/>
                <w:szCs w:val="28"/>
              </w:rPr>
              <w:t>函</w:t>
            </w:r>
          </w:p>
          <w:p>
            <w:pPr>
              <w:spacing w:line="360" w:lineRule="auto"/>
              <w:rPr>
                <w:rFonts w:ascii="宋体" w:hAnsi="宋体" w:eastAsia="宋体"/>
                <w:bCs/>
                <w:kern w:val="0"/>
                <w:sz w:val="24"/>
                <w:szCs w:val="28"/>
              </w:rPr>
            </w:pPr>
            <w:r>
              <w:rPr>
                <w:rFonts w:hint="eastAsia" w:ascii="宋体" w:hAnsi="宋体" w:eastAsia="宋体"/>
                <w:bCs/>
                <w:kern w:val="0"/>
                <w:sz w:val="24"/>
                <w:szCs w:val="28"/>
              </w:rPr>
              <w:t>1.如采用金融机构出具的保函（银行保函），应为银行出具的见索即付无条件保函。</w:t>
            </w:r>
          </w:p>
          <w:p>
            <w:pPr>
              <w:spacing w:line="360" w:lineRule="auto"/>
              <w:rPr>
                <w:rFonts w:ascii="宋体" w:hAnsi="宋体" w:eastAsia="宋体"/>
                <w:bCs/>
                <w:kern w:val="0"/>
                <w:sz w:val="24"/>
                <w:szCs w:val="28"/>
              </w:rPr>
            </w:pPr>
            <w:r>
              <w:rPr>
                <w:rFonts w:hint="eastAsia" w:ascii="宋体" w:hAnsi="宋体" w:eastAsia="宋体"/>
                <w:bCs/>
                <w:kern w:val="0"/>
                <w:sz w:val="24"/>
                <w:szCs w:val="28"/>
              </w:rPr>
              <w:t>2.如采用担保机构出具的保函（担保机构担保），应为经安徽省地方金融监督管理局审查批准，依法取得融资担保业务经营许可证的融资担保机构出具的无条件保函。</w:t>
            </w:r>
          </w:p>
          <w:p>
            <w:pPr>
              <w:pStyle w:val="9"/>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（3）收取单位：安徽交通职业技术学院</w:t>
            </w:r>
          </w:p>
          <w:p>
            <w:pPr>
              <w:pStyle w:val="9"/>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（4）缴纳时间：</w:t>
            </w:r>
            <w:r>
              <w:rPr>
                <w:rFonts w:ascii="宋体" w:hAnsi="宋体" w:eastAsia="宋体"/>
                <w:b w:val="0"/>
                <w:sz w:val="24"/>
              </w:rPr>
              <w:t xml:space="preserve">合同签订前   </w:t>
            </w:r>
          </w:p>
          <w:p>
            <w:pPr>
              <w:pStyle w:val="9"/>
              <w:widowControl w:val="0"/>
              <w:spacing w:before="0" w:beforeAutospacing="0" w:after="0" w:afterAutospacing="0" w:line="360" w:lineRule="auto"/>
              <w:jc w:val="both"/>
              <w:rPr>
                <w:rFonts w:hint="eastAsia" w:ascii="宋体" w:hAnsi="宋体" w:cs="宋体"/>
                <w:b/>
                <w:bCs/>
                <w:color w:val="auto"/>
                <w:sz w:val="24"/>
                <w:szCs w:val="24"/>
                <w:lang w:eastAsia="zh-CN"/>
              </w:rPr>
            </w:pPr>
            <w:r>
              <w:rPr>
                <w:rFonts w:hint="eastAsia" w:ascii="宋体" w:hAnsi="宋体" w:eastAsia="宋体"/>
                <w:b w:val="0"/>
                <w:sz w:val="24"/>
              </w:rPr>
              <w:t>（5）退还时间：供货安装完成且验收合格后，待质保期（</w:t>
            </w:r>
            <w:r>
              <w:rPr>
                <w:rFonts w:hint="eastAsia" w:ascii="宋体" w:hAnsi="宋体" w:eastAsia="宋体"/>
                <w:b w:val="0"/>
                <w:sz w:val="24"/>
                <w:highlight w:val="none"/>
              </w:rPr>
              <w:t>三年</w:t>
            </w:r>
            <w:r>
              <w:rPr>
                <w:rFonts w:hint="eastAsia" w:ascii="宋体" w:hAnsi="宋体" w:eastAsia="宋体"/>
                <w:b w:val="0"/>
                <w:sz w:val="24"/>
              </w:rPr>
              <w:t>）满后一次性无息退还。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216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评标方法</w:t>
            </w:r>
          </w:p>
        </w:tc>
        <w:tc>
          <w:tcPr>
            <w:tcW w:w="7474" w:type="dxa"/>
            <w:noWrap w:val="0"/>
            <w:vAlign w:val="center"/>
          </w:tcPr>
          <w:p>
            <w:pPr>
              <w:spacing w:line="500" w:lineRule="exact"/>
              <w:rPr>
                <w:rFonts w:hint="eastAsia" w:ascii="宋体" w:hAnsi="宋体" w:eastAsia="宋体" w:cs="宋体"/>
                <w:color w:val="auto"/>
                <w:sz w:val="24"/>
                <w:szCs w:val="24"/>
                <w:lang w:eastAsia="zh-CN"/>
              </w:rPr>
            </w:pPr>
            <w:r>
              <w:rPr>
                <w:rFonts w:hint="eastAsia" w:ascii="宋体" w:hAnsi="宋体" w:cs="宋体"/>
                <w:b/>
                <w:bCs/>
                <w:color w:val="auto"/>
                <w:sz w:val="24"/>
                <w:szCs w:val="24"/>
                <w:lang w:eastAsia="zh-CN"/>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标前公示反馈截止时间</w:t>
            </w:r>
          </w:p>
        </w:tc>
        <w:tc>
          <w:tcPr>
            <w:tcW w:w="7474" w:type="dxa"/>
            <w:noWrap w:val="0"/>
            <w:vAlign w:val="center"/>
          </w:tcPr>
          <w:p>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20</w:t>
            </w:r>
            <w:r>
              <w:rPr>
                <w:rFonts w:hint="eastAsia" w:ascii="宋体" w:hAnsi="宋体" w:cs="宋体"/>
                <w:b/>
                <w:color w:val="auto"/>
                <w:sz w:val="24"/>
                <w:szCs w:val="24"/>
                <w:lang w:val="en-US" w:eastAsia="zh-CN"/>
              </w:rPr>
              <w:t>21</w:t>
            </w:r>
            <w:r>
              <w:rPr>
                <w:rFonts w:hint="eastAsia" w:ascii="宋体" w:hAnsi="宋体" w:eastAsia="宋体" w:cs="宋体"/>
                <w:b/>
                <w:color w:val="auto"/>
                <w:sz w:val="24"/>
                <w:szCs w:val="24"/>
              </w:rPr>
              <w:t>年</w:t>
            </w:r>
            <w:r>
              <w:rPr>
                <w:rFonts w:hint="eastAsia" w:ascii="宋体" w:hAnsi="宋体" w:cs="宋体"/>
                <w:b/>
                <w:color w:val="auto"/>
                <w:sz w:val="24"/>
                <w:szCs w:val="24"/>
                <w:lang w:val="en-US" w:eastAsia="zh-CN"/>
              </w:rPr>
              <w:t>9</w:t>
            </w:r>
            <w:r>
              <w:rPr>
                <w:rFonts w:hint="eastAsia" w:ascii="宋体" w:hAnsi="宋体" w:eastAsia="宋体" w:cs="宋体"/>
                <w:b/>
                <w:color w:val="auto"/>
                <w:sz w:val="24"/>
                <w:szCs w:val="24"/>
              </w:rPr>
              <w:t>月</w:t>
            </w:r>
            <w:r>
              <w:rPr>
                <w:rFonts w:hint="eastAsia" w:ascii="宋体" w:hAnsi="宋体" w:cs="宋体"/>
                <w:b/>
                <w:color w:val="auto"/>
                <w:sz w:val="24"/>
                <w:szCs w:val="24"/>
                <w:lang w:val="en-US" w:eastAsia="zh-CN"/>
              </w:rPr>
              <w:t>3</w:t>
            </w:r>
            <w:r>
              <w:rPr>
                <w:rFonts w:hint="eastAsia" w:ascii="宋体" w:hAnsi="宋体" w:eastAsia="宋体" w:cs="宋体"/>
                <w:b/>
                <w:color w:val="auto"/>
                <w:sz w:val="24"/>
                <w:szCs w:val="24"/>
              </w:rPr>
              <w:t>日17:</w:t>
            </w:r>
            <w:r>
              <w:rPr>
                <w:rFonts w:hint="eastAsia" w:ascii="宋体" w:hAnsi="宋体" w:cs="宋体"/>
                <w:b/>
                <w:color w:val="auto"/>
                <w:sz w:val="24"/>
                <w:szCs w:val="24"/>
                <w:lang w:val="en-US" w:eastAsia="zh-CN"/>
              </w:rPr>
              <w:t>00</w:t>
            </w:r>
            <w:r>
              <w:rPr>
                <w:rFonts w:hint="eastAsia" w:ascii="宋体" w:hAnsi="宋体" w:eastAsia="宋体" w:cs="宋体"/>
                <w:b/>
                <w:color w:val="auto"/>
                <w:sz w:val="24"/>
                <w:szCs w:val="24"/>
              </w:rPr>
              <w:t>前（超过规定时间的视同放弃）</w:t>
            </w:r>
          </w:p>
        </w:tc>
      </w:tr>
    </w:tbl>
    <w:p>
      <w:pPr>
        <w:rPr>
          <w:rFonts w:hint="eastAsia" w:ascii="宋体" w:hAnsi="宋体" w:eastAsia="宋体"/>
          <w:b/>
          <w:sz w:val="28"/>
        </w:rPr>
      </w:pPr>
      <w:r>
        <w:rPr>
          <w:rFonts w:hint="eastAsia" w:ascii="宋体" w:hAnsi="宋体" w:eastAsia="宋体"/>
          <w:b/>
          <w:sz w:val="28"/>
        </w:rPr>
        <w:br w:type="page"/>
      </w:r>
    </w:p>
    <w:p>
      <w:pPr>
        <w:spacing w:line="360" w:lineRule="auto"/>
        <w:jc w:val="center"/>
        <w:outlineLvl w:val="1"/>
        <w:rPr>
          <w:rFonts w:ascii="宋体" w:hAnsi="宋体" w:eastAsia="宋体"/>
          <w:b/>
          <w:sz w:val="28"/>
        </w:rPr>
      </w:pPr>
      <w:r>
        <w:rPr>
          <w:rFonts w:hint="eastAsia" w:ascii="宋体" w:hAnsi="宋体" w:eastAsia="宋体"/>
          <w:b/>
          <w:sz w:val="28"/>
        </w:rPr>
        <w:t>采购需求</w:t>
      </w:r>
    </w:p>
    <w:p>
      <w:pPr>
        <w:spacing w:line="360" w:lineRule="auto"/>
        <w:rPr>
          <w:rFonts w:ascii="宋体" w:hAnsi="宋体" w:eastAsia="宋体"/>
          <w:b/>
          <w:sz w:val="24"/>
        </w:rPr>
      </w:pPr>
      <w:r>
        <w:rPr>
          <w:rFonts w:hint="eastAsia" w:ascii="宋体" w:hAnsi="宋体" w:eastAsia="宋体"/>
          <w:b/>
          <w:sz w:val="24"/>
        </w:rPr>
        <w:t>前注：</w:t>
      </w:r>
    </w:p>
    <w:p>
      <w:pPr>
        <w:spacing w:line="360" w:lineRule="auto"/>
        <w:ind w:firstLine="435"/>
        <w:rPr>
          <w:rFonts w:ascii="宋体" w:hAnsi="宋体" w:eastAsia="宋体"/>
          <w:sz w:val="24"/>
          <w:szCs w:val="18"/>
        </w:rPr>
      </w:pPr>
      <w:r>
        <w:rPr>
          <w:rFonts w:hint="eastAsia" w:ascii="宋体" w:hAnsi="宋体" w:eastAsia="宋体"/>
          <w:sz w:val="24"/>
        </w:rPr>
        <w:t>1.</w:t>
      </w:r>
      <w:r>
        <w:rPr>
          <w:rFonts w:ascii="宋体" w:hAnsi="宋体" w:eastAsia="宋体"/>
          <w:sz w:val="24"/>
          <w:szCs w:val="18"/>
        </w:rPr>
        <w:t>根据《关于规范政府采购进口产品有关工作的通知》及政府采购管理部门的相关规定，下列采购需求中</w:t>
      </w:r>
      <w:r>
        <w:rPr>
          <w:rFonts w:hint="eastAsia" w:ascii="宋体" w:hAnsi="宋体" w:eastAsia="宋体"/>
          <w:sz w:val="24"/>
          <w:szCs w:val="18"/>
        </w:rPr>
        <w:t>标注进口产品的货物均</w:t>
      </w:r>
      <w:r>
        <w:rPr>
          <w:rFonts w:ascii="宋体" w:hAnsi="宋体" w:eastAsia="宋体"/>
          <w:sz w:val="24"/>
          <w:szCs w:val="18"/>
        </w:rPr>
        <w:t>已履行相关论证手续，经核准采购进口</w:t>
      </w:r>
      <w:r>
        <w:rPr>
          <w:rFonts w:hint="eastAsia" w:ascii="宋体" w:hAnsi="宋体" w:eastAsia="宋体"/>
          <w:sz w:val="24"/>
          <w:szCs w:val="18"/>
        </w:rPr>
        <w:t>产品</w:t>
      </w:r>
      <w:r>
        <w:rPr>
          <w:rFonts w:ascii="宋体" w:hAnsi="宋体" w:eastAsia="宋体"/>
          <w:sz w:val="24"/>
          <w:szCs w:val="18"/>
        </w:rPr>
        <w:t>，但不限制满足招标文件要求的国内产品参与竞争</w:t>
      </w:r>
      <w:r>
        <w:rPr>
          <w:rFonts w:hint="eastAsia" w:ascii="宋体" w:hAnsi="宋体" w:eastAsia="宋体"/>
          <w:sz w:val="24"/>
          <w:szCs w:val="18"/>
        </w:rPr>
        <w:t>。未标注进口产品的货物均</w:t>
      </w:r>
      <w:r>
        <w:rPr>
          <w:rFonts w:ascii="宋体" w:hAnsi="宋体" w:eastAsia="宋体"/>
          <w:sz w:val="24"/>
          <w:szCs w:val="18"/>
        </w:rPr>
        <w:t>为拒绝采购进口产品</w:t>
      </w:r>
      <w:r>
        <w:rPr>
          <w:rFonts w:hint="eastAsia" w:ascii="宋体" w:hAnsi="宋体" w:eastAsia="宋体"/>
          <w:sz w:val="24"/>
          <w:szCs w:val="18"/>
        </w:rPr>
        <w:t>。</w:t>
      </w:r>
    </w:p>
    <w:p>
      <w:pPr>
        <w:spacing w:line="360" w:lineRule="auto"/>
        <w:ind w:firstLine="435"/>
        <w:rPr>
          <w:rFonts w:ascii="宋体" w:hAnsi="宋体" w:eastAsia="宋体"/>
          <w:sz w:val="24"/>
          <w:szCs w:val="18"/>
        </w:rPr>
      </w:pPr>
      <w:r>
        <w:rPr>
          <w:rFonts w:hint="eastAsia" w:ascii="宋体" w:hAnsi="宋体" w:eastAsia="宋体"/>
          <w:sz w:val="24"/>
          <w:szCs w:val="18"/>
        </w:rPr>
        <w:t>2.下列采购需求中：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pPr>
        <w:spacing w:line="360" w:lineRule="auto"/>
        <w:ind w:firstLine="435"/>
        <w:rPr>
          <w:rFonts w:ascii="宋体" w:hAnsi="宋体" w:eastAsia="宋体"/>
          <w:sz w:val="24"/>
          <w:szCs w:val="18"/>
          <w:highlight w:val="yellow"/>
        </w:rPr>
      </w:pPr>
      <w:r>
        <w:rPr>
          <w:rFonts w:hint="eastAsia" w:ascii="宋体" w:hAnsi="宋体" w:eastAsia="宋体"/>
          <w:sz w:val="24"/>
          <w:szCs w:val="18"/>
          <w:highlight w:val="none"/>
        </w:rPr>
        <w:t>3.</w:t>
      </w:r>
      <w:r>
        <w:rPr>
          <w:rFonts w:ascii="宋体" w:hAnsi="宋体" w:eastAsia="宋体"/>
          <w:sz w:val="24"/>
          <w:szCs w:val="18"/>
          <w:highlight w:val="none"/>
        </w:rPr>
        <w:t>下列采购需求中：标注▲的产品</w:t>
      </w:r>
      <w:r>
        <w:rPr>
          <w:rFonts w:hint="eastAsia" w:ascii="宋体" w:hAnsi="宋体" w:eastAsia="宋体"/>
          <w:sz w:val="24"/>
          <w:szCs w:val="18"/>
          <w:highlight w:val="none"/>
        </w:rPr>
        <w:t>（核心产品）</w:t>
      </w:r>
      <w:r>
        <w:rPr>
          <w:rFonts w:ascii="宋体" w:hAnsi="宋体" w:eastAsia="宋体"/>
          <w:sz w:val="24"/>
          <w:szCs w:val="18"/>
          <w:highlight w:val="none"/>
        </w:rPr>
        <w:t>，投标</w:t>
      </w:r>
      <w:r>
        <w:rPr>
          <w:rFonts w:hint="eastAsia" w:ascii="宋体" w:hAnsi="宋体" w:eastAsia="宋体"/>
          <w:sz w:val="24"/>
          <w:szCs w:val="18"/>
          <w:highlight w:val="none"/>
        </w:rPr>
        <w:t>人</w:t>
      </w:r>
      <w:r>
        <w:rPr>
          <w:rFonts w:ascii="宋体" w:hAnsi="宋体" w:eastAsia="宋体"/>
          <w:sz w:val="24"/>
          <w:szCs w:val="18"/>
          <w:highlight w:val="none"/>
        </w:rPr>
        <w:t>在投标文件《主要</w:t>
      </w:r>
      <w:r>
        <w:rPr>
          <w:rFonts w:hint="eastAsia" w:ascii="宋体" w:hAnsi="宋体" w:eastAsia="宋体"/>
          <w:sz w:val="24"/>
          <w:szCs w:val="18"/>
          <w:highlight w:val="none"/>
        </w:rPr>
        <w:t>中标</w:t>
      </w:r>
      <w:r>
        <w:rPr>
          <w:rFonts w:ascii="宋体" w:hAnsi="宋体" w:eastAsia="宋体"/>
          <w:sz w:val="24"/>
          <w:szCs w:val="18"/>
          <w:highlight w:val="none"/>
        </w:rPr>
        <w:t>标的承诺函》中填写名称、</w:t>
      </w:r>
      <w:r>
        <w:rPr>
          <w:rFonts w:hint="eastAsia" w:ascii="宋体" w:hAnsi="宋体" w:eastAsia="宋体"/>
          <w:sz w:val="24"/>
          <w:szCs w:val="18"/>
          <w:highlight w:val="none"/>
        </w:rPr>
        <w:t>品牌、</w:t>
      </w:r>
      <w:r>
        <w:rPr>
          <w:rFonts w:ascii="宋体" w:hAnsi="宋体" w:eastAsia="宋体"/>
          <w:sz w:val="24"/>
          <w:szCs w:val="18"/>
          <w:highlight w:val="none"/>
        </w:rPr>
        <w:t>规格、型号、数量、单价等信息</w:t>
      </w:r>
      <w:r>
        <w:rPr>
          <w:rFonts w:hint="eastAsia" w:ascii="宋体" w:hAnsi="宋体" w:eastAsia="宋体"/>
          <w:sz w:val="24"/>
          <w:szCs w:val="18"/>
          <w:highlight w:val="none"/>
        </w:rPr>
        <w:t>。</w:t>
      </w:r>
    </w:p>
    <w:p>
      <w:pPr>
        <w:spacing w:line="360" w:lineRule="auto"/>
        <w:ind w:firstLine="435"/>
        <w:rPr>
          <w:rFonts w:ascii="宋体" w:hAnsi="宋体" w:eastAsia="宋体"/>
          <w:sz w:val="24"/>
          <w:szCs w:val="18"/>
        </w:rPr>
      </w:pPr>
    </w:p>
    <w:p>
      <w:pPr>
        <w:spacing w:line="360" w:lineRule="auto"/>
        <w:ind w:firstLine="437"/>
        <w:rPr>
          <w:rFonts w:ascii="宋体" w:hAnsi="宋体" w:eastAsia="宋体"/>
          <w:b/>
          <w:sz w:val="24"/>
          <w:szCs w:val="18"/>
        </w:rPr>
      </w:pPr>
      <w:r>
        <w:rPr>
          <w:rFonts w:hint="eastAsia" w:ascii="宋体" w:hAnsi="宋体" w:eastAsia="宋体"/>
          <w:b/>
          <w:sz w:val="24"/>
          <w:szCs w:val="18"/>
        </w:rPr>
        <w:t>一、采购需求前附表</w:t>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032"/>
        <w:gridCol w:w="5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2032" w:type="dxa"/>
            <w:noWrap w:val="0"/>
            <w:vAlign w:val="center"/>
          </w:tcPr>
          <w:p>
            <w:pPr>
              <w:pStyle w:val="9"/>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5483" w:type="dxa"/>
            <w:noWrap w:val="0"/>
            <w:vAlign w:val="center"/>
          </w:tcPr>
          <w:p>
            <w:pPr>
              <w:pStyle w:val="9"/>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none"/>
              </w:rPr>
              <w:t>全部货物供货安装完成并经验收合格后支付合同金额的100%。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供货及安装地点</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安徽交通职业技术学院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供货及安装期限</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highlight w:val="none"/>
              </w:rPr>
            </w:pPr>
            <w:r>
              <w:rPr>
                <w:rFonts w:ascii="宋体" w:hAnsi="宋体" w:eastAsia="宋体"/>
                <w:b w:val="0"/>
                <w:sz w:val="24"/>
                <w:highlight w:val="none"/>
              </w:rPr>
              <w:t>合同签订生效后</w:t>
            </w:r>
            <w:r>
              <w:rPr>
                <w:rFonts w:hint="eastAsia" w:ascii="宋体" w:hAnsi="宋体" w:eastAsia="宋体"/>
                <w:b w:val="0"/>
                <w:sz w:val="24"/>
                <w:highlight w:val="none"/>
              </w:rPr>
              <w:t>45个日历日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4</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免费质保期</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验收合格之日起三年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5</w:t>
            </w:r>
          </w:p>
        </w:tc>
        <w:tc>
          <w:tcPr>
            <w:tcW w:w="2032" w:type="dxa"/>
            <w:noWrap w:val="0"/>
            <w:vAlign w:val="center"/>
          </w:tcPr>
          <w:p>
            <w:pPr>
              <w:pStyle w:val="9"/>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采购标的对应的中小企业划分标准所属行业</w:t>
            </w:r>
          </w:p>
        </w:tc>
        <w:tc>
          <w:tcPr>
            <w:tcW w:w="5483" w:type="dxa"/>
            <w:noWrap w:val="0"/>
            <w:vAlign w:val="center"/>
          </w:tcPr>
          <w:p>
            <w:pPr>
              <w:pStyle w:val="9"/>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详见货物</w:t>
            </w:r>
            <w:r>
              <w:rPr>
                <w:rFonts w:ascii="宋体" w:hAnsi="宋体" w:eastAsia="宋体"/>
                <w:b w:val="0"/>
                <w:sz w:val="24"/>
                <w:highlight w:val="none"/>
              </w:rPr>
              <w:t>需求</w:t>
            </w:r>
          </w:p>
        </w:tc>
      </w:tr>
    </w:tbl>
    <w:p>
      <w:pPr>
        <w:spacing w:line="360" w:lineRule="auto"/>
        <w:ind w:firstLine="437"/>
        <w:rPr>
          <w:rFonts w:ascii="宋体" w:hAnsi="宋体" w:eastAsia="宋体"/>
          <w:b/>
          <w:bCs/>
          <w:sz w:val="24"/>
          <w:szCs w:val="18"/>
        </w:rPr>
      </w:pPr>
      <w:r>
        <w:rPr>
          <w:rFonts w:hint="eastAsia" w:ascii="宋体" w:hAnsi="宋体" w:eastAsia="宋体"/>
          <w:b/>
          <w:bCs/>
          <w:sz w:val="24"/>
          <w:szCs w:val="18"/>
        </w:rPr>
        <w:t>二、货物需求</w:t>
      </w:r>
    </w:p>
    <w:tbl>
      <w:tblPr>
        <w:tblStyle w:val="7"/>
        <w:tblW w:w="107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891"/>
        <w:gridCol w:w="454"/>
        <w:gridCol w:w="1070"/>
        <w:gridCol w:w="1090"/>
        <w:gridCol w:w="925"/>
        <w:gridCol w:w="4375"/>
        <w:gridCol w:w="698"/>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pStyle w:val="11"/>
              <w:rPr>
                <w:rFonts w:ascii="宋体" w:hAnsi="宋体" w:eastAsia="宋体" w:cs="宋体"/>
                <w:b/>
                <w:bCs/>
                <w:color w:val="auto"/>
                <w:highlight w:val="none"/>
              </w:rPr>
            </w:pPr>
            <w:r>
              <w:rPr>
                <w:rFonts w:hint="eastAsia" w:ascii="宋体" w:hAnsi="宋体" w:eastAsia="宋体" w:cs="宋体"/>
                <w:b/>
                <w:bCs/>
                <w:color w:val="auto"/>
                <w:highlight w:val="none"/>
              </w:rPr>
              <w:t>序号</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b/>
                <w:bCs/>
                <w:color w:val="auto"/>
                <w:highlight w:val="none"/>
              </w:rPr>
            </w:pPr>
            <w:r>
              <w:rPr>
                <w:rFonts w:hint="eastAsia" w:ascii="宋体" w:hAnsi="宋体" w:eastAsia="宋体" w:cs="宋体"/>
                <w:b/>
                <w:bCs/>
                <w:color w:val="auto"/>
                <w:highlight w:val="none"/>
              </w:rPr>
              <w:t>设备名称</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b/>
                <w:bCs/>
                <w:color w:val="auto"/>
                <w:highlight w:val="none"/>
              </w:rPr>
            </w:pPr>
            <w:r>
              <w:rPr>
                <w:rFonts w:hint="eastAsia" w:ascii="宋体" w:hAnsi="宋体" w:eastAsia="宋体" w:cs="宋体"/>
                <w:b/>
                <w:bCs/>
                <w:color w:val="auto"/>
                <w:highlight w:val="none"/>
              </w:rPr>
              <w:t>技术参数</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b/>
                <w:bCs/>
                <w:color w:val="auto"/>
                <w:highlight w:val="none"/>
              </w:rPr>
            </w:pPr>
            <w:r>
              <w:rPr>
                <w:rFonts w:hint="eastAsia" w:ascii="宋体" w:hAnsi="宋体" w:eastAsia="宋体" w:cs="宋体"/>
                <w:b/>
                <w:bCs/>
                <w:color w:val="auto"/>
                <w:highlight w:val="none"/>
              </w:rPr>
              <w:t>数量</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b/>
                <w:bCs/>
                <w:color w:val="auto"/>
                <w:highlight w:val="none"/>
              </w:rPr>
            </w:pPr>
            <w:r>
              <w:rPr>
                <w:rFonts w:hint="eastAsia" w:ascii="宋体" w:hAnsi="宋体" w:eastAsia="宋体" w:cs="宋体"/>
                <w:b/>
                <w:bCs/>
                <w:color w:val="auto"/>
                <w:highlight w:val="none"/>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1/3号主变保护测控屏</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设备以典型的轨道交通牵引变电所保护测控屏柜为基础进行设计。满足学员进行故障分析和排查的功能。主要用于牵引变电所故障排查及处理项目的考核。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1面</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1号馈线保护测控屏</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设备以典型的轨道交通牵引变电所保护测控屏柜为基础进行设计。满足学员进行故障分析和排查的能力。主要用于牵引变电所故障排查及处理项目的考核。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1面</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馈线保护测控屏</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设备以典型的轨道交通牵引变电所馈线保护测控屏柜为基础进行设计。满足学员进行手动操作、接线配线的功能，综合考核学员的配线工艺素养、工程设计能力。主要用于牵引变电所测控保护回路的配线/安装/调试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1面</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断路器就地控制箱</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以断路器一次设备为原型进行功能开发，满足学员进行断路器一、二次设备间配线、调试。主要用于牵引变电所测控保护回路的配线/安装/调试考核。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1面</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电源屏</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为现场设备提供稳定的供电系统</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1面</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综合工况模拟屏</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该设备利用自主研发信号模拟系统对外同时提供多路短路电流、短路电压及其它开关量和非电量的输出，能够满足牵引变电所一次回路故障和二次控制回路故障的模拟。该设备是牵引变电所综合工况接线及验证项目的核心设备。</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工具柜</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工具柜内配置安全防护工具，手动接线、配线工具以及故障检测使用工具。主要用于牵引变电所故障排查及处理、牵引变电所测控保护回路的配线/安装/调试2个项目的考核。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学员终端</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考生终端由一台高性能计算机、一台显示器和一套办公桌椅构成。终端上部署有故障软件系统，主要用于牵引变电所故障排查及处理、牵引变电所测控保护回路的配线/安装/调试2个项目的考核。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裁判员（教员）终端</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裁判员(教员）终端是整个竞赛设备的控制评分系统，主要由一台高性能的计算机、一台显示和一套桌椅组成。主要用于牵引变电所故障排查及处理、牵引变电所测控保护回路的配线/安装/调试2个项目的考核。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试题库</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试题库由试卷组成；试卷题目涉及各模块考核内容。</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345" w:type="dxa"/>
            <w:gridSpan w:val="2"/>
            <w:vMerge w:val="restart"/>
            <w:noWrap w:val="0"/>
            <w:vAlign w:val="center"/>
          </w:tcPr>
          <w:p>
            <w:pPr>
              <w:widowControl/>
              <w:spacing w:before="120"/>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实训及考核内容</w:t>
            </w:r>
          </w:p>
        </w:tc>
        <w:tc>
          <w:tcPr>
            <w:tcW w:w="1070" w:type="dxa"/>
            <w:vMerge w:val="restart"/>
            <w:noWrap w:val="0"/>
            <w:vAlign w:val="center"/>
          </w:tcPr>
          <w:p>
            <w:pPr>
              <w:widowControl/>
              <w:spacing w:before="120"/>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牵引变电所故障排查及处理</w:t>
            </w:r>
          </w:p>
        </w:tc>
        <w:tc>
          <w:tcPr>
            <w:tcW w:w="1090" w:type="dxa"/>
            <w:noWrap w:val="0"/>
            <w:vAlign w:val="center"/>
          </w:tcPr>
          <w:p>
            <w:pPr>
              <w:widowControl/>
              <w:spacing w:before="120"/>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电量类故障</w:t>
            </w:r>
          </w:p>
        </w:tc>
        <w:tc>
          <w:tcPr>
            <w:tcW w:w="5300" w:type="dxa"/>
            <w:gridSpan w:val="2"/>
            <w:noWrap w:val="0"/>
            <w:vAlign w:val="center"/>
          </w:tcPr>
          <w:p>
            <w:pPr>
              <w:pStyle w:val="11"/>
              <w:numPr>
                <w:ilvl w:val="0"/>
                <w:numId w:val="1"/>
              </w:numPr>
              <w:jc w:val="left"/>
              <w:rPr>
                <w:rFonts w:ascii="宋体" w:hAnsi="宋体" w:eastAsia="宋体" w:cs="宋体"/>
                <w:color w:val="auto"/>
                <w:highlight w:val="none"/>
              </w:rPr>
            </w:pPr>
            <w:r>
              <w:rPr>
                <w:rFonts w:hint="eastAsia" w:ascii="宋体" w:hAnsi="宋体" w:eastAsia="宋体" w:cs="宋体"/>
                <w:color w:val="auto"/>
                <w:highlight w:val="none"/>
              </w:rPr>
              <w:t>轻瓦斯保护</w:t>
            </w:r>
          </w:p>
          <w:p>
            <w:pPr>
              <w:pStyle w:val="11"/>
              <w:numPr>
                <w:ilvl w:val="0"/>
                <w:numId w:val="1"/>
              </w:numPr>
              <w:jc w:val="left"/>
              <w:rPr>
                <w:rFonts w:ascii="宋体" w:hAnsi="宋体" w:eastAsia="宋体" w:cs="宋体"/>
                <w:color w:val="auto"/>
                <w:highlight w:val="none"/>
              </w:rPr>
            </w:pPr>
            <w:r>
              <w:rPr>
                <w:rFonts w:hint="eastAsia" w:ascii="宋体" w:hAnsi="宋体" w:eastAsia="宋体" w:cs="宋体"/>
                <w:color w:val="auto"/>
                <w:highlight w:val="none"/>
              </w:rPr>
              <w:t>温度I段保护</w:t>
            </w:r>
          </w:p>
          <w:p>
            <w:pPr>
              <w:pStyle w:val="11"/>
              <w:numPr>
                <w:ilvl w:val="0"/>
                <w:numId w:val="1"/>
              </w:numPr>
              <w:jc w:val="left"/>
              <w:rPr>
                <w:rFonts w:ascii="宋体" w:hAnsi="宋体" w:eastAsia="宋体" w:cs="宋体"/>
                <w:color w:val="auto"/>
                <w:highlight w:val="none"/>
              </w:rPr>
            </w:pPr>
            <w:r>
              <w:rPr>
                <w:rFonts w:hint="eastAsia" w:ascii="宋体" w:hAnsi="宋体" w:eastAsia="宋体" w:cs="宋体"/>
                <w:color w:val="auto"/>
                <w:highlight w:val="none"/>
              </w:rPr>
              <w:t>温度II段保护动作</w:t>
            </w:r>
          </w:p>
          <w:p>
            <w:pPr>
              <w:pStyle w:val="11"/>
              <w:numPr>
                <w:ilvl w:val="0"/>
                <w:numId w:val="1"/>
              </w:numPr>
              <w:jc w:val="left"/>
              <w:rPr>
                <w:rFonts w:ascii="宋体" w:hAnsi="宋体" w:eastAsia="宋体" w:cs="宋体"/>
                <w:color w:val="auto"/>
                <w:highlight w:val="none"/>
              </w:rPr>
            </w:pPr>
            <w:r>
              <w:rPr>
                <w:rFonts w:hint="eastAsia" w:ascii="宋体" w:hAnsi="宋体" w:eastAsia="宋体" w:cs="宋体"/>
                <w:color w:val="auto"/>
                <w:highlight w:val="none"/>
              </w:rPr>
              <w:t>压力释放保护动作</w:t>
            </w:r>
          </w:p>
          <w:p>
            <w:pPr>
              <w:pStyle w:val="11"/>
              <w:numPr>
                <w:ilvl w:val="0"/>
                <w:numId w:val="1"/>
              </w:numPr>
              <w:jc w:val="left"/>
              <w:rPr>
                <w:rFonts w:ascii="宋体" w:hAnsi="宋体" w:eastAsia="宋体" w:cs="宋体"/>
                <w:color w:val="auto"/>
                <w:highlight w:val="none"/>
              </w:rPr>
            </w:pPr>
            <w:r>
              <w:rPr>
                <w:rFonts w:hint="eastAsia" w:ascii="宋体" w:hAnsi="宋体" w:eastAsia="宋体" w:cs="宋体"/>
                <w:color w:val="auto"/>
                <w:highlight w:val="none"/>
              </w:rPr>
              <w:t>重瓦斯保护动作</w:t>
            </w:r>
          </w:p>
          <w:p>
            <w:pPr>
              <w:pStyle w:val="11"/>
              <w:numPr>
                <w:ilvl w:val="0"/>
                <w:numId w:val="1"/>
              </w:numPr>
              <w:jc w:val="left"/>
              <w:rPr>
                <w:rFonts w:ascii="宋体" w:hAnsi="宋体" w:eastAsia="宋体" w:cs="宋体"/>
                <w:color w:val="auto"/>
                <w:highlight w:val="none"/>
              </w:rPr>
            </w:pPr>
            <w:r>
              <w:rPr>
                <w:rFonts w:hint="eastAsia" w:ascii="宋体" w:hAnsi="宋体" w:eastAsia="宋体" w:cs="宋体"/>
                <w:color w:val="auto"/>
                <w:highlight w:val="none"/>
              </w:rPr>
              <w:t>馈线侧过流保护动作</w:t>
            </w:r>
          </w:p>
          <w:p>
            <w:pPr>
              <w:pStyle w:val="11"/>
              <w:numPr>
                <w:ilvl w:val="0"/>
                <w:numId w:val="1"/>
              </w:numPr>
              <w:jc w:val="left"/>
              <w:rPr>
                <w:rFonts w:ascii="宋体" w:hAnsi="宋体" w:eastAsia="宋体" w:cs="宋体"/>
                <w:color w:val="auto"/>
                <w:highlight w:val="none"/>
              </w:rPr>
            </w:pPr>
            <w:r>
              <w:rPr>
                <w:rFonts w:hint="eastAsia" w:ascii="宋体" w:hAnsi="宋体" w:eastAsia="宋体" w:cs="宋体"/>
                <w:color w:val="auto"/>
                <w:highlight w:val="none"/>
              </w:rPr>
              <w:t>馈线侧速断保护动作</w:t>
            </w:r>
          </w:p>
          <w:p>
            <w:pPr>
              <w:pStyle w:val="11"/>
              <w:numPr>
                <w:ilvl w:val="0"/>
                <w:numId w:val="1"/>
              </w:numPr>
              <w:jc w:val="left"/>
              <w:rPr>
                <w:rFonts w:ascii="宋体" w:hAnsi="宋体" w:eastAsia="宋体" w:cs="宋体"/>
                <w:color w:val="auto"/>
                <w:highlight w:val="none"/>
              </w:rPr>
            </w:pPr>
            <w:r>
              <w:rPr>
                <w:rFonts w:hint="eastAsia" w:ascii="宋体" w:hAnsi="宋体" w:eastAsia="宋体" w:cs="宋体"/>
                <w:color w:val="auto"/>
                <w:highlight w:val="none"/>
              </w:rPr>
              <w:t>主变低压侧过流保护动作</w:t>
            </w:r>
          </w:p>
          <w:p>
            <w:pPr>
              <w:pStyle w:val="11"/>
              <w:numPr>
                <w:ilvl w:val="0"/>
                <w:numId w:val="1"/>
              </w:numPr>
              <w:jc w:val="left"/>
              <w:rPr>
                <w:rFonts w:ascii="宋体" w:hAnsi="宋体" w:eastAsia="宋体" w:cs="宋体"/>
                <w:color w:val="auto"/>
                <w:highlight w:val="none"/>
              </w:rPr>
            </w:pPr>
            <w:r>
              <w:rPr>
                <w:rFonts w:hint="eastAsia" w:ascii="宋体" w:hAnsi="宋体" w:eastAsia="宋体" w:cs="宋体"/>
                <w:color w:val="auto"/>
                <w:highlight w:val="none"/>
              </w:rPr>
              <w:t>主变高压侧过流保护动作</w:t>
            </w:r>
          </w:p>
          <w:p>
            <w:pPr>
              <w:pStyle w:val="11"/>
              <w:jc w:val="left"/>
              <w:rPr>
                <w:rFonts w:ascii="宋体" w:hAnsi="宋体" w:eastAsia="宋体" w:cs="宋体"/>
                <w:color w:val="auto"/>
                <w:highlight w:val="none"/>
              </w:rPr>
            </w:pPr>
            <w:r>
              <w:rPr>
                <w:rFonts w:hint="eastAsia" w:ascii="宋体" w:hAnsi="宋体" w:eastAsia="宋体" w:cs="宋体"/>
                <w:color w:val="auto"/>
                <w:highlight w:val="none"/>
              </w:rPr>
              <w:t>10、主变高压侧速断保护动作</w:t>
            </w:r>
          </w:p>
          <w:p>
            <w:pPr>
              <w:pStyle w:val="11"/>
              <w:jc w:val="left"/>
              <w:rPr>
                <w:rFonts w:ascii="宋体" w:hAnsi="宋体" w:eastAsia="宋体" w:cs="宋体"/>
                <w:color w:val="auto"/>
                <w:highlight w:val="none"/>
              </w:rPr>
            </w:pPr>
            <w:r>
              <w:rPr>
                <w:rFonts w:hint="eastAsia" w:ascii="宋体" w:hAnsi="宋体" w:eastAsia="宋体" w:cs="宋体"/>
                <w:color w:val="auto"/>
                <w:highlight w:val="none"/>
              </w:rPr>
              <w:t>11、主变过负荷保护动作</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345" w:type="dxa"/>
            <w:gridSpan w:val="2"/>
            <w:vMerge w:val="continue"/>
            <w:noWrap w:val="0"/>
            <w:vAlign w:val="center"/>
          </w:tcPr>
          <w:p>
            <w:pPr>
              <w:widowControl/>
              <w:jc w:val="left"/>
              <w:textAlignment w:val="center"/>
              <w:rPr>
                <w:rFonts w:ascii="宋体" w:hAnsi="宋体" w:eastAsia="宋体" w:cs="宋体"/>
                <w:color w:val="auto"/>
                <w:szCs w:val="21"/>
                <w:highlight w:val="none"/>
              </w:rPr>
            </w:pPr>
          </w:p>
        </w:tc>
        <w:tc>
          <w:tcPr>
            <w:tcW w:w="1070" w:type="dxa"/>
            <w:vMerge w:val="continue"/>
            <w:noWrap w:val="0"/>
            <w:vAlign w:val="center"/>
          </w:tcPr>
          <w:p>
            <w:pPr>
              <w:widowControl/>
              <w:jc w:val="left"/>
              <w:textAlignment w:val="center"/>
              <w:rPr>
                <w:rFonts w:ascii="宋体" w:hAnsi="宋体" w:eastAsia="宋体" w:cs="宋体"/>
                <w:color w:val="auto"/>
                <w:szCs w:val="21"/>
                <w:highlight w:val="none"/>
              </w:rPr>
            </w:pPr>
          </w:p>
        </w:tc>
        <w:tc>
          <w:tcPr>
            <w:tcW w:w="1090" w:type="dxa"/>
            <w:noWrap w:val="0"/>
            <w:vAlign w:val="center"/>
          </w:tcPr>
          <w:p>
            <w:pPr>
              <w:widowControl/>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断线类故障</w:t>
            </w:r>
          </w:p>
        </w:tc>
        <w:tc>
          <w:tcPr>
            <w:tcW w:w="5300" w:type="dxa"/>
            <w:gridSpan w:val="2"/>
            <w:noWrap w:val="0"/>
            <w:vAlign w:val="center"/>
          </w:tcPr>
          <w:p>
            <w:pPr>
              <w:pStyle w:val="11"/>
              <w:ind w:firstLine="482"/>
              <w:jc w:val="left"/>
              <w:rPr>
                <w:rFonts w:ascii="宋体" w:hAnsi="宋体" w:eastAsia="宋体" w:cs="宋体"/>
                <w:b/>
                <w:bCs/>
                <w:color w:val="auto"/>
                <w:highlight w:val="none"/>
              </w:rPr>
            </w:pPr>
            <w:r>
              <w:rPr>
                <w:rFonts w:hint="eastAsia" w:ascii="宋体" w:hAnsi="宋体" w:eastAsia="宋体" w:cs="宋体"/>
                <w:b/>
                <w:bCs/>
                <w:color w:val="auto"/>
                <w:highlight w:val="none"/>
              </w:rPr>
              <w:t>断路器故障为以下5种类型的故障：</w:t>
            </w:r>
          </w:p>
          <w:p>
            <w:pPr>
              <w:pStyle w:val="11"/>
              <w:numPr>
                <w:ilvl w:val="0"/>
                <w:numId w:val="2"/>
              </w:numPr>
              <w:ind w:firstLine="480"/>
              <w:jc w:val="left"/>
              <w:rPr>
                <w:rFonts w:ascii="宋体" w:hAnsi="宋体" w:eastAsia="宋体" w:cs="宋体"/>
                <w:color w:val="auto"/>
                <w:highlight w:val="none"/>
              </w:rPr>
            </w:pPr>
            <w:r>
              <w:rPr>
                <w:rFonts w:hint="eastAsia" w:ascii="宋体" w:hAnsi="宋体" w:eastAsia="宋体" w:cs="宋体"/>
                <w:color w:val="auto"/>
                <w:highlight w:val="none"/>
              </w:rPr>
              <w:t>断路器控制回路断线</w:t>
            </w:r>
          </w:p>
          <w:p>
            <w:pPr>
              <w:pStyle w:val="11"/>
              <w:numPr>
                <w:ilvl w:val="0"/>
                <w:numId w:val="2"/>
              </w:numPr>
              <w:ind w:firstLine="480"/>
              <w:jc w:val="left"/>
              <w:rPr>
                <w:rFonts w:ascii="宋体" w:hAnsi="宋体" w:eastAsia="宋体" w:cs="宋体"/>
                <w:color w:val="auto"/>
                <w:highlight w:val="none"/>
              </w:rPr>
            </w:pPr>
            <w:r>
              <w:rPr>
                <w:rFonts w:hint="eastAsia" w:ascii="宋体" w:hAnsi="宋体" w:eastAsia="宋体" w:cs="宋体"/>
                <w:color w:val="auto"/>
                <w:highlight w:val="none"/>
              </w:rPr>
              <w:t>断路器手合回路断线</w:t>
            </w:r>
          </w:p>
          <w:p>
            <w:pPr>
              <w:pStyle w:val="11"/>
              <w:numPr>
                <w:ilvl w:val="0"/>
                <w:numId w:val="2"/>
              </w:numPr>
              <w:ind w:firstLine="480"/>
              <w:jc w:val="left"/>
              <w:rPr>
                <w:rFonts w:ascii="宋体" w:hAnsi="宋体" w:eastAsia="宋体" w:cs="宋体"/>
                <w:color w:val="auto"/>
                <w:highlight w:val="none"/>
              </w:rPr>
            </w:pPr>
            <w:r>
              <w:rPr>
                <w:rFonts w:hint="eastAsia" w:ascii="宋体" w:hAnsi="宋体" w:eastAsia="宋体" w:cs="宋体"/>
                <w:color w:val="auto"/>
                <w:highlight w:val="none"/>
              </w:rPr>
              <w:t>断路器手分回路断线</w:t>
            </w:r>
          </w:p>
          <w:p>
            <w:pPr>
              <w:pStyle w:val="11"/>
              <w:numPr>
                <w:ilvl w:val="0"/>
                <w:numId w:val="2"/>
              </w:numPr>
              <w:ind w:firstLine="480"/>
              <w:jc w:val="left"/>
              <w:rPr>
                <w:rFonts w:ascii="宋体" w:hAnsi="宋体" w:eastAsia="宋体" w:cs="宋体"/>
                <w:color w:val="auto"/>
                <w:highlight w:val="none"/>
              </w:rPr>
            </w:pPr>
            <w:r>
              <w:rPr>
                <w:rFonts w:hint="eastAsia" w:ascii="宋体" w:hAnsi="宋体" w:eastAsia="宋体" w:cs="宋体"/>
                <w:color w:val="auto"/>
                <w:highlight w:val="none"/>
              </w:rPr>
              <w:t>断路器合闸信号灯损坏</w:t>
            </w:r>
          </w:p>
          <w:p>
            <w:pPr>
              <w:pStyle w:val="11"/>
              <w:numPr>
                <w:ilvl w:val="0"/>
                <w:numId w:val="2"/>
              </w:numPr>
              <w:ind w:firstLine="480"/>
              <w:jc w:val="left"/>
              <w:rPr>
                <w:rFonts w:ascii="宋体" w:hAnsi="宋体" w:eastAsia="宋体" w:cs="宋体"/>
                <w:color w:val="auto"/>
                <w:highlight w:val="none"/>
              </w:rPr>
            </w:pPr>
            <w:r>
              <w:rPr>
                <w:rFonts w:hint="eastAsia" w:ascii="宋体" w:hAnsi="宋体" w:eastAsia="宋体" w:cs="宋体"/>
                <w:color w:val="auto"/>
                <w:highlight w:val="none"/>
              </w:rPr>
              <w:t>断路器分闸信号灯损坏</w:t>
            </w:r>
          </w:p>
          <w:p>
            <w:pPr>
              <w:pStyle w:val="11"/>
              <w:ind w:firstLine="482"/>
              <w:jc w:val="left"/>
              <w:rPr>
                <w:rFonts w:ascii="宋体" w:hAnsi="宋体" w:eastAsia="宋体" w:cs="宋体"/>
                <w:b/>
                <w:bCs/>
                <w:color w:val="auto"/>
                <w:highlight w:val="none"/>
              </w:rPr>
            </w:pPr>
            <w:r>
              <w:rPr>
                <w:rFonts w:hint="eastAsia" w:ascii="宋体" w:hAnsi="宋体" w:eastAsia="宋体" w:cs="宋体"/>
                <w:b/>
                <w:bCs/>
                <w:color w:val="auto"/>
                <w:highlight w:val="none"/>
              </w:rPr>
              <w:t xml:space="preserve">隔离开关故障为以下5种类型的故障： </w:t>
            </w:r>
          </w:p>
          <w:p>
            <w:pPr>
              <w:pStyle w:val="11"/>
              <w:numPr>
                <w:ilvl w:val="0"/>
                <w:numId w:val="3"/>
              </w:numPr>
              <w:ind w:firstLine="480"/>
              <w:jc w:val="left"/>
              <w:rPr>
                <w:rFonts w:ascii="宋体" w:hAnsi="宋体" w:eastAsia="宋体" w:cs="宋体"/>
                <w:color w:val="auto"/>
                <w:highlight w:val="none"/>
              </w:rPr>
            </w:pPr>
            <w:r>
              <w:rPr>
                <w:rFonts w:hint="eastAsia" w:ascii="宋体" w:hAnsi="宋体" w:eastAsia="宋体" w:cs="宋体"/>
                <w:color w:val="auto"/>
                <w:highlight w:val="none"/>
              </w:rPr>
              <w:t>隔离开关控制回路断线</w:t>
            </w:r>
          </w:p>
          <w:p>
            <w:pPr>
              <w:pStyle w:val="11"/>
              <w:numPr>
                <w:ilvl w:val="0"/>
                <w:numId w:val="3"/>
              </w:numPr>
              <w:ind w:firstLine="480"/>
              <w:jc w:val="left"/>
              <w:rPr>
                <w:rFonts w:ascii="宋体" w:hAnsi="宋体" w:eastAsia="宋体" w:cs="宋体"/>
                <w:color w:val="auto"/>
                <w:highlight w:val="none"/>
              </w:rPr>
            </w:pPr>
            <w:r>
              <w:rPr>
                <w:rFonts w:hint="eastAsia" w:ascii="宋体" w:hAnsi="宋体" w:eastAsia="宋体" w:cs="宋体"/>
                <w:color w:val="auto"/>
                <w:highlight w:val="none"/>
              </w:rPr>
              <w:t>隔离开关手合回路断线</w:t>
            </w:r>
          </w:p>
          <w:p>
            <w:pPr>
              <w:pStyle w:val="11"/>
              <w:numPr>
                <w:ilvl w:val="0"/>
                <w:numId w:val="3"/>
              </w:numPr>
              <w:ind w:firstLine="480"/>
              <w:jc w:val="left"/>
              <w:rPr>
                <w:rFonts w:ascii="宋体" w:hAnsi="宋体" w:eastAsia="宋体" w:cs="宋体"/>
                <w:color w:val="auto"/>
                <w:highlight w:val="none"/>
              </w:rPr>
            </w:pPr>
            <w:r>
              <w:rPr>
                <w:rFonts w:hint="eastAsia" w:ascii="宋体" w:hAnsi="宋体" w:eastAsia="宋体" w:cs="宋体"/>
                <w:color w:val="auto"/>
                <w:highlight w:val="none"/>
              </w:rPr>
              <w:t>隔离开关手分回路断线</w:t>
            </w:r>
          </w:p>
          <w:p>
            <w:pPr>
              <w:pStyle w:val="11"/>
              <w:numPr>
                <w:ilvl w:val="0"/>
                <w:numId w:val="3"/>
              </w:numPr>
              <w:ind w:firstLine="480"/>
              <w:jc w:val="left"/>
              <w:rPr>
                <w:rFonts w:ascii="宋体" w:hAnsi="宋体" w:eastAsia="宋体" w:cs="宋体"/>
                <w:color w:val="auto"/>
                <w:highlight w:val="none"/>
              </w:rPr>
            </w:pPr>
            <w:r>
              <w:rPr>
                <w:rFonts w:hint="eastAsia" w:ascii="宋体" w:hAnsi="宋体" w:eastAsia="宋体" w:cs="宋体"/>
                <w:color w:val="auto"/>
                <w:highlight w:val="none"/>
              </w:rPr>
              <w:t>隔离开关合闸信号灯损坏</w:t>
            </w:r>
          </w:p>
          <w:p>
            <w:pPr>
              <w:pStyle w:val="11"/>
              <w:numPr>
                <w:ilvl w:val="0"/>
                <w:numId w:val="3"/>
              </w:numPr>
              <w:ind w:firstLine="480"/>
              <w:jc w:val="left"/>
              <w:rPr>
                <w:rFonts w:ascii="宋体" w:hAnsi="宋体" w:eastAsia="宋体" w:cs="宋体"/>
                <w:color w:val="auto"/>
                <w:highlight w:val="none"/>
              </w:rPr>
            </w:pPr>
            <w:r>
              <w:rPr>
                <w:rFonts w:hint="eastAsia" w:ascii="宋体" w:hAnsi="宋体" w:eastAsia="宋体" w:cs="宋体"/>
                <w:color w:val="auto"/>
                <w:highlight w:val="none"/>
              </w:rPr>
              <w:t>隔离开关分闸信号灯损坏</w:t>
            </w:r>
          </w:p>
          <w:p>
            <w:pPr>
              <w:widowControl/>
              <w:jc w:val="center"/>
              <w:textAlignment w:val="center"/>
              <w:rPr>
                <w:rFonts w:ascii="宋体" w:hAnsi="宋体" w:eastAsia="宋体" w:cs="宋体"/>
                <w:color w:val="auto"/>
                <w:szCs w:val="21"/>
                <w:highlight w:val="none"/>
              </w:rPr>
            </w:pP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345" w:type="dxa"/>
            <w:gridSpan w:val="2"/>
            <w:vMerge w:val="continue"/>
            <w:noWrap w:val="0"/>
            <w:vAlign w:val="center"/>
          </w:tcPr>
          <w:p>
            <w:pPr>
              <w:widowControl/>
              <w:jc w:val="left"/>
              <w:textAlignment w:val="center"/>
              <w:rPr>
                <w:rFonts w:ascii="宋体" w:hAnsi="宋体" w:eastAsia="宋体" w:cs="宋体"/>
                <w:color w:val="auto"/>
                <w:szCs w:val="21"/>
                <w:highlight w:val="none"/>
              </w:rPr>
            </w:pPr>
          </w:p>
        </w:tc>
        <w:tc>
          <w:tcPr>
            <w:tcW w:w="1070" w:type="dxa"/>
            <w:noWrap w:val="0"/>
            <w:vAlign w:val="center"/>
          </w:tcPr>
          <w:p>
            <w:pPr>
              <w:widowControl/>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牵引变电所测控保护回路接线考核</w:t>
            </w:r>
          </w:p>
        </w:tc>
        <w:tc>
          <w:tcPr>
            <w:tcW w:w="1090" w:type="dxa"/>
            <w:noWrap w:val="0"/>
            <w:vAlign w:val="center"/>
          </w:tcPr>
          <w:p>
            <w:pPr>
              <w:widowControl/>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模拟断路器接线</w:t>
            </w:r>
          </w:p>
        </w:tc>
        <w:tc>
          <w:tcPr>
            <w:tcW w:w="5300" w:type="dxa"/>
            <w:gridSpan w:val="2"/>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绘图</w:t>
            </w:r>
          </w:p>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安装布线工艺</w:t>
            </w:r>
          </w:p>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职业素养</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2415" w:type="dxa"/>
            <w:gridSpan w:val="3"/>
            <w:noWrap w:val="0"/>
            <w:vAlign w:val="center"/>
          </w:tcPr>
          <w:p>
            <w:pPr>
              <w:widowControl/>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故障软件系统</w:t>
            </w:r>
          </w:p>
        </w:tc>
        <w:tc>
          <w:tcPr>
            <w:tcW w:w="6390" w:type="dxa"/>
            <w:gridSpan w:val="3"/>
            <w:noWrap w:val="0"/>
            <w:vAlign w:val="center"/>
          </w:tcPr>
          <w:p>
            <w:pPr>
              <w:spacing w:line="276" w:lineRule="auto"/>
              <w:rPr>
                <w:rFonts w:ascii="宋体" w:hAnsi="宋体" w:eastAsia="宋体" w:cs="宋体"/>
                <w:color w:val="auto"/>
                <w:szCs w:val="21"/>
                <w:highlight w:val="none"/>
              </w:rPr>
            </w:pPr>
            <w:r>
              <w:rPr>
                <w:rFonts w:hint="eastAsia" w:ascii="宋体" w:hAnsi="宋体" w:eastAsia="宋体" w:cs="宋体"/>
                <w:color w:val="auto"/>
                <w:szCs w:val="21"/>
                <w:highlight w:val="none"/>
              </w:rPr>
              <w:t>可以模拟牵引变电所内常见故障，分为电量类故障和断线类故障。学员在规定时间内完成系统触发故障的分析、排查、确定。所有故障的触发随机出现，必须完成前一个故障处置，系统才会自动触发下一个故障。</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6" w:hRule="atLeast"/>
          <w:jc w:val="center"/>
        </w:trPr>
        <w:tc>
          <w:tcPr>
            <w:tcW w:w="503" w:type="dxa"/>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415" w:type="dxa"/>
            <w:gridSpan w:val="3"/>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教员考评管理软件系统</w:t>
            </w:r>
          </w:p>
        </w:tc>
        <w:tc>
          <w:tcPr>
            <w:tcW w:w="6390" w:type="dxa"/>
            <w:gridSpan w:val="3"/>
            <w:noWrap w:val="0"/>
            <w:vAlign w:val="center"/>
          </w:tcPr>
          <w:p>
            <w:pPr>
              <w:widowControl/>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考评管理软件系统是整个系统的一个重要组成部分，它承担着整套系统的全方位监管、控制和系统维护任务。从设备的运转前准备到实训结束后的数据处理、评价；从实训课程设计到试卷的下发，从基础数据准备到系统状态检测到任务下发等，均通过考评管理系统完成。</w:t>
            </w:r>
          </w:p>
          <w:p>
            <w:pPr>
              <w:widowControl/>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★教员管理软件能对实训终端进行数据管理、监控管理、试题库管理。提供第三方检测</w:t>
            </w:r>
            <w:r>
              <w:rPr>
                <w:rFonts w:ascii="宋体" w:hAnsi="宋体" w:eastAsia="宋体" w:cs="宋体"/>
                <w:color w:val="auto"/>
                <w:szCs w:val="21"/>
                <w:highlight w:val="none"/>
              </w:rPr>
              <w:t>机构出具的</w:t>
            </w:r>
            <w:r>
              <w:rPr>
                <w:rFonts w:hint="eastAsia" w:ascii="宋体" w:hAnsi="宋体" w:eastAsia="宋体" w:cs="宋体"/>
                <w:color w:val="auto"/>
                <w:szCs w:val="21"/>
                <w:highlight w:val="none"/>
              </w:rPr>
              <w:t>检验报告证明（提供复印件，并标注检验项目所在页）。</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值班员终端</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值班员终端由配置不低于：CPU：I7/16G/256GSSD/外加6G独立显卡的一套品牌工控机、一台23.8英寸显示器和一套1.2米长办公桌和一套转椅构成。终端上部署有牵引变电所三维仿真系统主要用于牵引变电所标准化倒闸作业、牵引变电所标准化巡视作业的实训与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助理值班员终端</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助理值班员终端由配置不低于：CPU：I7/16G/256GSSD/外加6G独立显卡的一套品牌工控机、一台23.8英寸显示器和一套1.2米长办公桌和一套转椅构成。终端上部署有牵引变电所三维仿真系统主要用于牵引变电所标准化倒闸作业、牵引变电所标准化巡视作业的实训与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馈线保护测控屏</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设备以典型的轨道交通牵引变电所馈线保护测控屏柜为基础进行设计。满足学员进行手动操作、接线配线的功能，综合考核学员的配线工艺素养、工程设计能力。主要用于牵引变电所测控保护回路的配线/安装/调试的实训和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1面</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断路器就地控制箱</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定制，以断路器一次设备为原型进行功能开发，满足学员进行断路器一、二次设备间配线、调试。主要用于牵引变电所测控保护回路的配线/安装/调试考核。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电源屏</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hint="eastAsia" w:ascii="宋体" w:hAnsi="宋体" w:eastAsia="宋体" w:cs="宋体"/>
                <w:color w:val="auto"/>
                <w:highlight w:val="none"/>
              </w:rPr>
            </w:pPr>
            <w:r>
              <w:rPr>
                <w:rFonts w:hint="eastAsia" w:ascii="宋体" w:hAnsi="宋体" w:eastAsia="宋体" w:cs="宋体"/>
                <w:color w:val="auto"/>
                <w:highlight w:val="none"/>
              </w:rPr>
              <w:t>捷安定制，为现场设备提供稳定的供电系统，稳压电源（1）</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工具柜</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工具柜内配置安全防护工具，手动接线、配线工具以及故障检测使用工具。主要用于牵引变电所测控保护回路的配线/安装/调试的实训和考核。</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22</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裁判员(教员）终端</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裁判员(教员）终端是整个系统的控制评分系统，主要由配置不低于：CPU：I5/8G/256GSSD的一套品牌工控机、一台23.8英寸显示器和一套1.6米长的办公桌和一套转椅构成。</w:t>
            </w:r>
          </w:p>
          <w:p>
            <w:pPr>
              <w:pStyle w:val="11"/>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★为保证教员在教员系统的集中管理与控制功能可以进行一键开关机，投标人须提供具有自主知识产权的一种开关机控制装置的证明材料</w:t>
            </w:r>
            <w:r>
              <w:rPr>
                <w:rFonts w:hint="eastAsia" w:ascii="宋体" w:hAnsi="宋体" w:eastAsia="宋体" w:cs="宋体"/>
                <w:color w:val="auto"/>
                <w:highlight w:val="none"/>
                <w:lang w:eastAsia="zh-CN"/>
              </w:rPr>
              <w:t>。</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试题库</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试题库由试卷组成；试卷题目涉及各模块考核内容。</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24</w:t>
            </w:r>
          </w:p>
        </w:tc>
        <w:tc>
          <w:tcPr>
            <w:tcW w:w="891" w:type="dxa"/>
            <w:vMerge w:val="restart"/>
            <w:tcBorders>
              <w:top w:val="nil"/>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实训及考核内容</w:t>
            </w:r>
          </w:p>
        </w:tc>
        <w:tc>
          <w:tcPr>
            <w:tcW w:w="1524" w:type="dxa"/>
            <w:gridSpan w:val="2"/>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牵引变电所标准化倒闸作业</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1#、2#KX  XX方向上、下行送电（211、212运行）</w:t>
            </w:r>
          </w:p>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1#、2#KX  XX方向上、下行停电（211、212运行）</w:t>
            </w:r>
          </w:p>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1#KX  XX方向下行送电（211、212运行）</w:t>
            </w:r>
          </w:p>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1#KX  XX方向下行停电（211、212运行）</w:t>
            </w:r>
          </w:p>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1L、1B、3B倒至1L、2B、4B运行</w:t>
            </w:r>
          </w:p>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1L、1B、3B倒至2L、2B、4B运行</w:t>
            </w:r>
          </w:p>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1L、2B、4B倒至2L、2B、4B运行</w:t>
            </w:r>
          </w:p>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2#KX  XX方向上行送电（211、212运行）</w:t>
            </w:r>
          </w:p>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2L、1B、3B倒至1L、2B、4B运行</w:t>
            </w:r>
          </w:p>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2L、1B、3B倒至2L、2B、4B运行</w:t>
            </w:r>
          </w:p>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2L、2B、4B倒至1L、2B、4B运行</w:t>
            </w:r>
          </w:p>
          <w:p>
            <w:pPr>
              <w:pStyle w:val="11"/>
              <w:numPr>
                <w:ilvl w:val="0"/>
                <w:numId w:val="4"/>
              </w:numPr>
              <w:jc w:val="left"/>
              <w:rPr>
                <w:rFonts w:ascii="宋体" w:hAnsi="宋体" w:eastAsia="宋体" w:cs="宋体"/>
                <w:color w:val="auto"/>
                <w:highlight w:val="none"/>
              </w:rPr>
            </w:pPr>
            <w:r>
              <w:rPr>
                <w:rFonts w:hint="eastAsia" w:ascii="宋体" w:hAnsi="宋体" w:eastAsia="宋体" w:cs="宋体"/>
                <w:color w:val="auto"/>
                <w:highlight w:val="none"/>
              </w:rPr>
              <w:t>3#KX  XX方向下行停电（213、214运行）</w:t>
            </w:r>
          </w:p>
        </w:tc>
        <w:tc>
          <w:tcPr>
            <w:tcW w:w="698" w:type="dxa"/>
            <w:vMerge w:val="restart"/>
            <w:tcBorders>
              <w:top w:val="single" w:color="auto" w:sz="4" w:space="0"/>
              <w:left w:val="nil"/>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25</w:t>
            </w:r>
          </w:p>
        </w:tc>
        <w:tc>
          <w:tcPr>
            <w:tcW w:w="891" w:type="dxa"/>
            <w:vMerge w:val="continue"/>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auto"/>
                <w:szCs w:val="21"/>
                <w:highlight w:val="none"/>
              </w:rPr>
            </w:pPr>
          </w:p>
        </w:tc>
        <w:tc>
          <w:tcPr>
            <w:tcW w:w="1524" w:type="dxa"/>
            <w:gridSpan w:val="2"/>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牵引变电所标准化巡视作业</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numPr>
                <w:ilvl w:val="0"/>
                <w:numId w:val="5"/>
              </w:numPr>
              <w:jc w:val="left"/>
              <w:rPr>
                <w:rFonts w:ascii="宋体" w:hAnsi="宋体" w:eastAsia="宋体" w:cs="宋体"/>
                <w:color w:val="auto"/>
                <w:highlight w:val="none"/>
              </w:rPr>
            </w:pPr>
            <w:r>
              <w:rPr>
                <w:rFonts w:hint="eastAsia" w:ascii="宋体" w:hAnsi="宋体" w:eastAsia="宋体" w:cs="宋体"/>
                <w:color w:val="auto"/>
                <w:highlight w:val="none"/>
              </w:rPr>
              <w:t>全所标准化路线巡视</w:t>
            </w:r>
          </w:p>
          <w:p>
            <w:pPr>
              <w:pStyle w:val="11"/>
              <w:numPr>
                <w:ilvl w:val="0"/>
                <w:numId w:val="5"/>
              </w:numPr>
              <w:jc w:val="left"/>
              <w:rPr>
                <w:rFonts w:ascii="宋体" w:hAnsi="宋体" w:eastAsia="宋体" w:cs="宋体"/>
                <w:color w:val="auto"/>
                <w:highlight w:val="none"/>
              </w:rPr>
            </w:pPr>
            <w:r>
              <w:rPr>
                <w:rFonts w:hint="eastAsia" w:ascii="宋体" w:hAnsi="宋体" w:eastAsia="宋体" w:cs="宋体"/>
                <w:color w:val="auto"/>
                <w:highlight w:val="none"/>
              </w:rPr>
              <w:t>巡视GIS高压柜</w:t>
            </w:r>
          </w:p>
          <w:p>
            <w:pPr>
              <w:pStyle w:val="11"/>
              <w:numPr>
                <w:ilvl w:val="0"/>
                <w:numId w:val="5"/>
              </w:numPr>
              <w:jc w:val="left"/>
              <w:rPr>
                <w:rFonts w:ascii="宋体" w:hAnsi="宋体" w:eastAsia="宋体" w:cs="宋体"/>
                <w:color w:val="auto"/>
                <w:highlight w:val="none"/>
              </w:rPr>
            </w:pPr>
            <w:r>
              <w:rPr>
                <w:rFonts w:hint="eastAsia" w:ascii="宋体" w:hAnsi="宋体" w:eastAsia="宋体" w:cs="宋体"/>
                <w:color w:val="auto"/>
                <w:highlight w:val="none"/>
              </w:rPr>
              <w:t>巡视变压器</w:t>
            </w:r>
          </w:p>
          <w:p>
            <w:pPr>
              <w:pStyle w:val="11"/>
              <w:numPr>
                <w:ilvl w:val="0"/>
                <w:numId w:val="5"/>
              </w:numPr>
              <w:jc w:val="left"/>
              <w:rPr>
                <w:rFonts w:ascii="宋体" w:hAnsi="宋体" w:eastAsia="宋体" w:cs="宋体"/>
                <w:color w:val="auto"/>
                <w:highlight w:val="none"/>
              </w:rPr>
            </w:pPr>
            <w:r>
              <w:rPr>
                <w:rFonts w:hint="eastAsia" w:ascii="宋体" w:hAnsi="宋体" w:eastAsia="宋体" w:cs="宋体"/>
                <w:color w:val="auto"/>
                <w:highlight w:val="none"/>
              </w:rPr>
              <w:t>巡视测控保护屏</w:t>
            </w:r>
          </w:p>
          <w:p>
            <w:pPr>
              <w:pStyle w:val="11"/>
              <w:numPr>
                <w:ilvl w:val="0"/>
                <w:numId w:val="5"/>
              </w:numPr>
              <w:jc w:val="left"/>
              <w:rPr>
                <w:rFonts w:ascii="宋体" w:hAnsi="宋体" w:eastAsia="宋体" w:cs="宋体"/>
                <w:color w:val="auto"/>
                <w:highlight w:val="none"/>
              </w:rPr>
            </w:pPr>
            <w:r>
              <w:rPr>
                <w:rFonts w:hint="eastAsia" w:ascii="宋体" w:hAnsi="宋体" w:eastAsia="宋体" w:cs="宋体"/>
                <w:color w:val="auto"/>
                <w:highlight w:val="none"/>
              </w:rPr>
              <w:t>巡视电动隔离开关</w:t>
            </w:r>
          </w:p>
          <w:p>
            <w:pPr>
              <w:pStyle w:val="11"/>
              <w:numPr>
                <w:ilvl w:val="0"/>
                <w:numId w:val="5"/>
              </w:numPr>
              <w:jc w:val="left"/>
              <w:rPr>
                <w:rFonts w:ascii="宋体" w:hAnsi="宋体" w:eastAsia="宋体" w:cs="宋体"/>
                <w:color w:val="auto"/>
                <w:highlight w:val="none"/>
              </w:rPr>
            </w:pPr>
            <w:r>
              <w:rPr>
                <w:rFonts w:hint="eastAsia" w:ascii="宋体" w:hAnsi="宋体" w:eastAsia="宋体" w:cs="宋体"/>
                <w:color w:val="auto"/>
                <w:highlight w:val="none"/>
              </w:rPr>
              <w:t>巡视电流互感器</w:t>
            </w:r>
          </w:p>
          <w:p>
            <w:pPr>
              <w:pStyle w:val="11"/>
              <w:numPr>
                <w:ilvl w:val="0"/>
                <w:numId w:val="5"/>
              </w:numPr>
              <w:jc w:val="left"/>
              <w:rPr>
                <w:rFonts w:ascii="宋体" w:hAnsi="宋体" w:eastAsia="宋体" w:cs="宋体"/>
                <w:color w:val="auto"/>
                <w:highlight w:val="none"/>
              </w:rPr>
            </w:pPr>
            <w:r>
              <w:rPr>
                <w:rFonts w:hint="eastAsia" w:ascii="宋体" w:hAnsi="宋体" w:eastAsia="宋体" w:cs="宋体"/>
                <w:color w:val="auto"/>
                <w:highlight w:val="none"/>
              </w:rPr>
              <w:t>巡视电压互感器</w:t>
            </w:r>
          </w:p>
          <w:p>
            <w:pPr>
              <w:pStyle w:val="11"/>
              <w:numPr>
                <w:ilvl w:val="0"/>
                <w:numId w:val="5"/>
              </w:numPr>
              <w:jc w:val="left"/>
              <w:rPr>
                <w:rFonts w:ascii="宋体" w:hAnsi="宋体" w:eastAsia="宋体" w:cs="宋体"/>
                <w:color w:val="auto"/>
                <w:highlight w:val="none"/>
              </w:rPr>
            </w:pPr>
            <w:r>
              <w:rPr>
                <w:rFonts w:hint="eastAsia" w:ascii="宋体" w:hAnsi="宋体" w:eastAsia="宋体" w:cs="宋体"/>
                <w:color w:val="auto"/>
                <w:highlight w:val="none"/>
              </w:rPr>
              <w:t>巡视断路器</w:t>
            </w:r>
          </w:p>
          <w:p>
            <w:pPr>
              <w:pStyle w:val="11"/>
              <w:numPr>
                <w:ilvl w:val="0"/>
                <w:numId w:val="5"/>
              </w:numPr>
              <w:jc w:val="left"/>
              <w:rPr>
                <w:rFonts w:ascii="宋体" w:hAnsi="宋体" w:eastAsia="宋体" w:cs="宋体"/>
                <w:color w:val="auto"/>
                <w:highlight w:val="none"/>
              </w:rPr>
            </w:pPr>
            <w:r>
              <w:rPr>
                <w:rFonts w:hint="eastAsia" w:ascii="宋体" w:hAnsi="宋体" w:eastAsia="宋体" w:cs="宋体"/>
                <w:color w:val="auto"/>
                <w:highlight w:val="none"/>
              </w:rPr>
              <w:t>巡视交流盘</w:t>
            </w:r>
          </w:p>
          <w:p>
            <w:pPr>
              <w:pStyle w:val="11"/>
              <w:numPr>
                <w:ilvl w:val="0"/>
                <w:numId w:val="5"/>
              </w:numPr>
              <w:jc w:val="left"/>
              <w:rPr>
                <w:rFonts w:ascii="宋体" w:hAnsi="宋体" w:eastAsia="宋体" w:cs="宋体"/>
                <w:color w:val="auto"/>
                <w:highlight w:val="none"/>
              </w:rPr>
            </w:pPr>
            <w:r>
              <w:rPr>
                <w:rFonts w:hint="eastAsia" w:ascii="宋体" w:hAnsi="宋体" w:eastAsia="宋体" w:cs="宋体"/>
                <w:color w:val="auto"/>
                <w:highlight w:val="none"/>
              </w:rPr>
              <w:t>巡视手动隔离开关</w:t>
            </w:r>
          </w:p>
          <w:p>
            <w:pPr>
              <w:pStyle w:val="11"/>
              <w:numPr>
                <w:ilvl w:val="0"/>
                <w:numId w:val="5"/>
              </w:numPr>
              <w:jc w:val="left"/>
              <w:rPr>
                <w:rFonts w:ascii="宋体" w:hAnsi="宋体" w:eastAsia="宋体" w:cs="宋体"/>
                <w:color w:val="auto"/>
                <w:highlight w:val="none"/>
              </w:rPr>
            </w:pPr>
            <w:r>
              <w:rPr>
                <w:rFonts w:hint="eastAsia" w:ascii="宋体" w:hAnsi="宋体" w:eastAsia="宋体" w:cs="宋体"/>
                <w:color w:val="auto"/>
                <w:highlight w:val="none"/>
              </w:rPr>
              <w:t>巡视充电馈线柜</w:t>
            </w:r>
          </w:p>
        </w:tc>
        <w:tc>
          <w:tcPr>
            <w:tcW w:w="698" w:type="dxa"/>
            <w:vMerge w:val="continue"/>
            <w:tcBorders>
              <w:left w:val="nil"/>
              <w:right w:val="single" w:color="auto" w:sz="4" w:space="0"/>
            </w:tcBorders>
            <w:noWrap w:val="0"/>
            <w:vAlign w:val="center"/>
          </w:tcPr>
          <w:p>
            <w:pPr>
              <w:pStyle w:val="11"/>
              <w:rPr>
                <w:rFonts w:ascii="宋体" w:hAnsi="宋体" w:eastAsia="宋体" w:cs="宋体"/>
                <w:color w:val="auto"/>
                <w:highlight w:val="none"/>
              </w:rPr>
            </w:pPr>
          </w:p>
        </w:tc>
        <w:tc>
          <w:tcPr>
            <w:tcW w:w="698" w:type="dxa"/>
            <w:tcBorders>
              <w:left w:val="nil"/>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26</w:t>
            </w:r>
          </w:p>
        </w:tc>
        <w:tc>
          <w:tcPr>
            <w:tcW w:w="891" w:type="dxa"/>
            <w:vMerge w:val="continue"/>
            <w:tcBorders>
              <w:top w:val="nil"/>
              <w:left w:val="nil"/>
              <w:bottom w:val="single" w:color="auto" w:sz="4" w:space="0"/>
              <w:right w:val="single" w:color="auto" w:sz="4" w:space="0"/>
            </w:tcBorders>
            <w:noWrap w:val="0"/>
            <w:vAlign w:val="center"/>
          </w:tcPr>
          <w:p>
            <w:pPr>
              <w:widowControl/>
              <w:jc w:val="left"/>
              <w:rPr>
                <w:rFonts w:ascii="宋体" w:hAnsi="宋体" w:eastAsia="宋体" w:cs="宋体"/>
                <w:color w:val="auto"/>
                <w:szCs w:val="21"/>
                <w:highlight w:val="none"/>
              </w:rPr>
            </w:pPr>
          </w:p>
        </w:tc>
        <w:tc>
          <w:tcPr>
            <w:tcW w:w="1524" w:type="dxa"/>
            <w:gridSpan w:val="2"/>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牵引变电所测控保护回路接线考核</w:t>
            </w:r>
          </w:p>
        </w:tc>
        <w:tc>
          <w:tcPr>
            <w:tcW w:w="2015" w:type="dxa"/>
            <w:gridSpan w:val="2"/>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模拟断路器接线</w:t>
            </w:r>
          </w:p>
        </w:tc>
        <w:tc>
          <w:tcPr>
            <w:tcW w:w="4375" w:type="dxa"/>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rPr>
              <w:tab/>
            </w:r>
            <w:r>
              <w:rPr>
                <w:rFonts w:hint="eastAsia" w:ascii="宋体" w:hAnsi="宋体" w:eastAsia="宋体" w:cs="宋体"/>
                <w:color w:val="auto"/>
                <w:highlight w:val="none"/>
              </w:rPr>
              <w:t>绘图</w:t>
            </w:r>
          </w:p>
          <w:p>
            <w:pPr>
              <w:pStyle w:val="11"/>
              <w:jc w:val="left"/>
              <w:rPr>
                <w:rFonts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rPr>
              <w:tab/>
            </w:r>
            <w:r>
              <w:rPr>
                <w:rFonts w:hint="eastAsia" w:ascii="宋体" w:hAnsi="宋体" w:eastAsia="宋体" w:cs="宋体"/>
                <w:color w:val="auto"/>
                <w:highlight w:val="none"/>
              </w:rPr>
              <w:t>安装布线工艺</w:t>
            </w:r>
          </w:p>
          <w:p>
            <w:pPr>
              <w:pStyle w:val="11"/>
              <w:jc w:val="left"/>
              <w:rPr>
                <w:rFonts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rPr>
              <w:tab/>
            </w:r>
            <w:r>
              <w:rPr>
                <w:rFonts w:hint="eastAsia" w:ascii="宋体" w:hAnsi="宋体" w:eastAsia="宋体" w:cs="宋体"/>
                <w:color w:val="auto"/>
                <w:highlight w:val="none"/>
              </w:rPr>
              <w:t>职业素养</w:t>
            </w:r>
          </w:p>
        </w:tc>
        <w:tc>
          <w:tcPr>
            <w:tcW w:w="698" w:type="dxa"/>
            <w:vMerge w:val="continue"/>
            <w:tcBorders>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p>
        </w:tc>
        <w:tc>
          <w:tcPr>
            <w:tcW w:w="698" w:type="dxa"/>
            <w:tcBorders>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27</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▲变电所三维仿真实训系统</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变电所三维仿真实训系统部署于学员终端，是本产品的重要组成部分，以武昌东牵引变电所为原型进行仿真，系统采用计算机建模技术和虚拟现实技术，构建出虚拟的三维数字化牵引变电所，包含控制室、高压室、工具室以及室外整个牵引变电所的全部设备，为学员提供一个真实的牵引变电所环境。</w:t>
            </w:r>
          </w:p>
          <w:p>
            <w:pPr>
              <w:pStyle w:val="11"/>
              <w:jc w:val="left"/>
              <w:rPr>
                <w:rFonts w:hint="eastAsia" w:ascii="宋体" w:hAnsi="宋体" w:eastAsia="宋体" w:cs="宋体"/>
                <w:color w:val="auto"/>
                <w:highlight w:val="none"/>
              </w:rPr>
            </w:pPr>
            <w:r>
              <w:rPr>
                <w:rFonts w:hint="eastAsia" w:ascii="宋体" w:hAnsi="宋体" w:eastAsia="宋体" w:cs="宋体"/>
                <w:color w:val="auto"/>
                <w:highlight w:val="none"/>
              </w:rPr>
              <w:t>★变电所三维仿真实训系统中，模拟对象涵盖：控制室、高压室、检修室、室外等，仿真对象的外观、形状、相对位置、布局与实际一致，所有的操作、发光、发声、报警、显示等仿真设备的功能、内容、动作方式、控制方式、操作方式等属性与实际一致，并且按照实际的逻辑关系实时响应，响应的方式及结果与实际相同，提供第三方检测</w:t>
            </w:r>
            <w:r>
              <w:rPr>
                <w:rFonts w:ascii="宋体" w:hAnsi="宋体" w:eastAsia="宋体" w:cs="宋体"/>
                <w:color w:val="auto"/>
                <w:highlight w:val="none"/>
              </w:rPr>
              <w:t>机构出具的</w:t>
            </w:r>
            <w:r>
              <w:rPr>
                <w:rFonts w:hint="eastAsia" w:ascii="宋体" w:hAnsi="宋体" w:eastAsia="宋体" w:cs="宋体"/>
                <w:color w:val="auto"/>
                <w:highlight w:val="none"/>
              </w:rPr>
              <w:t>检验报告证明（提供复印件，并标注检验项目所在页）</w:t>
            </w:r>
          </w:p>
          <w:p>
            <w:pPr>
              <w:pStyle w:val="11"/>
              <w:jc w:val="left"/>
              <w:rPr>
                <w:rFonts w:ascii="宋体" w:hAnsi="宋体" w:eastAsia="宋体" w:cs="宋体"/>
                <w:color w:val="auto"/>
                <w:highlight w:val="none"/>
              </w:rPr>
            </w:pPr>
            <w:r>
              <w:rPr>
                <w:rFonts w:hint="eastAsia" w:ascii="宋体" w:hAnsi="宋体" w:eastAsia="宋体" w:cs="宋体"/>
                <w:color w:val="auto"/>
                <w:highlight w:val="none"/>
              </w:rPr>
              <w:t>★为确保技术可行性、成熟性且满足教学要求，投标人研究开发的面向铁路行业的三维GIS虚拟视景路网信息系统平台技术须通过行业</w:t>
            </w:r>
            <w:r>
              <w:rPr>
                <w:rFonts w:ascii="宋体" w:hAnsi="宋体" w:eastAsia="宋体" w:cs="宋体"/>
                <w:color w:val="auto"/>
                <w:highlight w:val="none"/>
              </w:rPr>
              <w:t>主管部门或</w:t>
            </w:r>
            <w:r>
              <w:rPr>
                <w:rFonts w:hint="eastAsia" w:ascii="宋体" w:hAnsi="宋体" w:eastAsia="宋体" w:cs="宋体"/>
                <w:color w:val="auto"/>
                <w:highlight w:val="none"/>
              </w:rPr>
              <w:t>鉴定</w:t>
            </w:r>
            <w:r>
              <w:rPr>
                <w:rFonts w:ascii="宋体" w:hAnsi="宋体" w:eastAsia="宋体" w:cs="宋体"/>
                <w:color w:val="auto"/>
                <w:highlight w:val="none"/>
              </w:rPr>
              <w:t>部门</w:t>
            </w:r>
            <w:r>
              <w:rPr>
                <w:rFonts w:hint="eastAsia" w:ascii="宋体" w:hAnsi="宋体" w:eastAsia="宋体" w:cs="宋体"/>
                <w:color w:val="auto"/>
                <w:highlight w:val="none"/>
              </w:rPr>
              <w:t>的鉴定并提供证明文件复印件。</w:t>
            </w:r>
          </w:p>
          <w:p>
            <w:pPr>
              <w:pStyle w:val="11"/>
              <w:jc w:val="left"/>
              <w:rPr>
                <w:rFonts w:ascii="宋体" w:hAnsi="宋体" w:eastAsia="宋体" w:cs="宋体"/>
                <w:color w:val="auto"/>
                <w:highlight w:val="none"/>
              </w:rPr>
            </w:pPr>
            <w:r>
              <w:rPr>
                <w:rFonts w:hint="eastAsia" w:ascii="宋体" w:hAnsi="宋体" w:eastAsia="宋体" w:cs="宋体"/>
                <w:color w:val="auto"/>
                <w:highlight w:val="none"/>
              </w:rPr>
              <w:t>★为确保技术可行性、成熟性且满足教学要求，投标人研究开发的</w:t>
            </w:r>
            <w:r>
              <w:rPr>
                <w:rFonts w:hint="eastAsia" w:ascii="宋体" w:hAnsi="宋体" w:eastAsia="宋体" w:cs="宋体"/>
                <w:color w:val="auto"/>
                <w:highlight w:val="none"/>
                <w:lang w:bidi="ar"/>
              </w:rPr>
              <w:t>三维数字化虚拟仿真编辑器</w:t>
            </w:r>
            <w:r>
              <w:rPr>
                <w:rFonts w:hint="eastAsia" w:ascii="宋体" w:hAnsi="宋体" w:eastAsia="宋体" w:cs="宋体"/>
                <w:color w:val="auto"/>
                <w:highlight w:val="none"/>
              </w:rPr>
              <w:t>须通过行业</w:t>
            </w:r>
            <w:r>
              <w:rPr>
                <w:rFonts w:ascii="宋体" w:hAnsi="宋体" w:eastAsia="宋体" w:cs="宋体"/>
                <w:color w:val="auto"/>
                <w:highlight w:val="none"/>
              </w:rPr>
              <w:t>主管部门或</w:t>
            </w:r>
            <w:r>
              <w:rPr>
                <w:rFonts w:hint="eastAsia" w:ascii="宋体" w:hAnsi="宋体" w:eastAsia="宋体" w:cs="宋体"/>
                <w:color w:val="auto"/>
                <w:highlight w:val="none"/>
              </w:rPr>
              <w:t>鉴定</w:t>
            </w:r>
            <w:r>
              <w:rPr>
                <w:rFonts w:ascii="宋体" w:hAnsi="宋体" w:eastAsia="宋体" w:cs="宋体"/>
                <w:color w:val="auto"/>
                <w:highlight w:val="none"/>
              </w:rPr>
              <w:t>部门</w:t>
            </w:r>
            <w:r>
              <w:rPr>
                <w:rFonts w:hint="eastAsia" w:ascii="宋体" w:hAnsi="宋体" w:eastAsia="宋体" w:cs="宋体"/>
                <w:color w:val="auto"/>
                <w:highlight w:val="none"/>
              </w:rPr>
              <w:t>的鉴定并在投标文件中提供证明文件复印件，</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highlight w:val="none"/>
              </w:rPr>
            </w:pPr>
            <w:r>
              <w:rPr>
                <w:rFonts w:hint="eastAsia" w:ascii="宋体" w:hAnsi="宋体" w:eastAsia="宋体" w:cs="宋体"/>
                <w:color w:val="auto"/>
                <w:highlight w:val="none"/>
              </w:rPr>
              <w:t>28</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教员考评管理软件系统</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1"/>
              <w:jc w:val="left"/>
              <w:rPr>
                <w:rFonts w:ascii="宋体" w:hAnsi="宋体" w:eastAsia="宋体" w:cs="宋体"/>
                <w:color w:val="auto"/>
                <w:highlight w:val="none"/>
              </w:rPr>
            </w:pPr>
            <w:r>
              <w:rPr>
                <w:rFonts w:hint="eastAsia" w:ascii="宋体" w:hAnsi="宋体" w:eastAsia="宋体" w:cs="宋体"/>
                <w:color w:val="auto"/>
                <w:highlight w:val="none"/>
              </w:rPr>
              <w:t>考评管理软件系统是整个系统的一个重要组成部分，它承担着整套系统的全方位监管、控制和系统维护任务。从设备的运转前准备到实训结束后的数据处理、评价；从实训课程设计到试卷的下发，从基础数据准备到系统状态检测到任务下发等，均通过考评管理系统完成。</w:t>
            </w:r>
          </w:p>
          <w:p>
            <w:pPr>
              <w:pStyle w:val="11"/>
              <w:jc w:val="left"/>
              <w:rPr>
                <w:rFonts w:ascii="宋体" w:hAnsi="宋体" w:eastAsia="宋体" w:cs="宋体"/>
                <w:color w:val="auto"/>
                <w:highlight w:val="none"/>
              </w:rPr>
            </w:pPr>
            <w:r>
              <w:rPr>
                <w:rFonts w:hint="eastAsia" w:ascii="宋体" w:hAnsi="宋体" w:eastAsia="宋体" w:cs="宋体"/>
                <w:color w:val="auto"/>
                <w:highlight w:val="none"/>
              </w:rPr>
              <w:t>★教员管理软件能够实现对任务、课程的编辑，成绩的查看等。提供第三方检测</w:t>
            </w:r>
            <w:r>
              <w:rPr>
                <w:rFonts w:ascii="宋体" w:hAnsi="宋体" w:eastAsia="宋体" w:cs="宋体"/>
                <w:color w:val="auto"/>
                <w:highlight w:val="none"/>
              </w:rPr>
              <w:t>机构</w:t>
            </w:r>
            <w:r>
              <w:rPr>
                <w:rFonts w:hint="eastAsia" w:ascii="宋体" w:hAnsi="宋体" w:eastAsia="宋体" w:cs="宋体"/>
                <w:color w:val="auto"/>
                <w:highlight w:val="none"/>
              </w:rPr>
              <w:t>出具</w:t>
            </w:r>
            <w:r>
              <w:rPr>
                <w:rFonts w:ascii="宋体" w:hAnsi="宋体" w:eastAsia="宋体" w:cs="宋体"/>
                <w:color w:val="auto"/>
                <w:highlight w:val="none"/>
              </w:rPr>
              <w:t>的</w:t>
            </w:r>
            <w:r>
              <w:rPr>
                <w:rFonts w:hint="eastAsia" w:ascii="宋体" w:hAnsi="宋体" w:eastAsia="宋体" w:cs="宋体"/>
                <w:color w:val="auto"/>
                <w:highlight w:val="none"/>
              </w:rPr>
              <w:t>检验报告证明（提供复印件，并标注检验项目所在页。</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11"/>
              <w:rPr>
                <w:rFonts w:hint="eastAsia" w:ascii="宋体" w:hAnsi="宋体" w:eastAsia="宋体" w:cs="宋体"/>
                <w:color w:val="auto"/>
                <w:highlight w:val="none"/>
              </w:rPr>
            </w:pPr>
            <w:r>
              <w:rPr>
                <w:rFonts w:hint="eastAsia" w:ascii="宋体" w:hAnsi="宋体" w:eastAsia="宋体" w:cs="宋体"/>
                <w:color w:val="auto"/>
                <w:highlight w:val="none"/>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29</w:t>
            </w:r>
          </w:p>
        </w:tc>
        <w:tc>
          <w:tcPr>
            <w:tcW w:w="2415" w:type="dxa"/>
            <w:gridSpan w:val="3"/>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学生</w:t>
            </w:r>
            <w:r>
              <w:rPr>
                <w:rFonts w:hint="eastAsia" w:ascii="宋体" w:hAnsi="宋体" w:eastAsia="宋体" w:cs="宋体"/>
                <w:color w:val="auto"/>
                <w:highlight w:val="none"/>
                <w:lang w:eastAsia="zh-CN"/>
              </w:rPr>
              <w:t>使用平台</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6"/>
              <w:snapToGrid w:val="0"/>
              <w:spacing w:before="0" w:beforeLines="0" w:after="0" w:afterLines="0" w:line="240" w:lineRule="auto"/>
              <w:ind w:left="0" w:leftChars="0" w:firstLine="0" w:firstLineChars="0"/>
              <w:jc w:val="lef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1.基材：采用优质E1级三胺板，台面厚度25，甲醛释放量不超过5mg/100g。</w:t>
            </w:r>
          </w:p>
          <w:p>
            <w:pPr>
              <w:pStyle w:val="6"/>
              <w:snapToGrid w:val="0"/>
              <w:spacing w:before="0" w:beforeLines="0" w:after="0" w:afterLines="0" w:line="240" w:lineRule="auto"/>
              <w:ind w:left="0" w:leftChars="0" w:firstLine="0" w:firstLineChars="0"/>
              <w:jc w:val="lef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2.台面贴面：选用双贴三聚氰胺浸渍面纸饰面。</w:t>
            </w:r>
          </w:p>
          <w:p>
            <w:pPr>
              <w:pStyle w:val="6"/>
              <w:snapToGrid w:val="0"/>
              <w:spacing w:before="0" w:beforeLines="0" w:after="0" w:afterLines="0" w:line="240" w:lineRule="auto"/>
              <w:ind w:left="0" w:leftChars="0" w:firstLine="0" w:firstLineChars="0"/>
              <w:jc w:val="lef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3.封边：双色PVC封边、厚度不小于2mm。</w:t>
            </w:r>
          </w:p>
          <w:p>
            <w:pPr>
              <w:pStyle w:val="6"/>
              <w:snapToGrid w:val="0"/>
              <w:spacing w:before="0" w:beforeLines="0" w:after="0" w:afterLines="0" w:line="240" w:lineRule="auto"/>
              <w:ind w:left="0" w:leftChars="0" w:firstLine="0" w:firstLineChars="0"/>
              <w:jc w:val="lef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4.防腐等工艺处理，表面阿克苏静电粉末喷涂处理，连接配件用铝合金。</w:t>
            </w:r>
          </w:p>
          <w:p>
            <w:pPr>
              <w:pStyle w:val="6"/>
              <w:snapToGrid w:val="0"/>
              <w:spacing w:before="0" w:beforeLines="0" w:after="0" w:afterLines="0" w:line="240" w:lineRule="auto"/>
              <w:ind w:left="0" w:leftChars="0" w:firstLine="0" w:firstLineChars="0"/>
              <w:jc w:val="lef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5.单张参考尺寸800*400*750可拼接6人位组合。</w:t>
            </w:r>
          </w:p>
          <w:p>
            <w:pPr>
              <w:pStyle w:val="6"/>
              <w:snapToGrid w:val="0"/>
              <w:spacing w:before="0" w:beforeLines="0" w:after="0" w:afterLines="0" w:line="240" w:lineRule="auto"/>
              <w:ind w:left="0" w:leftChars="0" w:firstLine="0" w:firstLineChars="0"/>
              <w:jc w:val="left"/>
              <w:rPr>
                <w:rFonts w:hint="eastAsia" w:ascii="宋体" w:hAnsi="宋体" w:eastAsia="宋体" w:cs="宋体"/>
                <w:color w:val="auto"/>
                <w:highlight w:val="none"/>
              </w:rPr>
            </w:pPr>
            <w:r>
              <w:rPr>
                <w:rFonts w:hint="eastAsia" w:ascii="宋体" w:hAnsi="宋体" w:eastAsia="宋体" w:cs="宋体"/>
                <w:color w:val="auto"/>
                <w:sz w:val="21"/>
                <w:szCs w:val="21"/>
                <w:highlight w:val="none"/>
                <w:u w:val="none"/>
              </w:rPr>
              <w:t>6.配备6张网状靠背椅子。</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highlight w:val="none"/>
              </w:rPr>
            </w:pPr>
            <w:r>
              <w:rPr>
                <w:rFonts w:hint="eastAsia" w:ascii="宋体" w:hAnsi="宋体" w:eastAsia="宋体" w:cs="宋体"/>
                <w:color w:val="auto"/>
                <w:highlight w:val="none"/>
              </w:rPr>
              <w:t>30</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6"/>
              <w:snapToGrid w:val="0"/>
              <w:spacing w:line="240" w:lineRule="auto"/>
              <w:ind w:left="0" w:leftChars="0" w:firstLine="0" w:firstLineChars="0"/>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教师</w:t>
            </w:r>
            <w:r>
              <w:rPr>
                <w:rFonts w:hint="eastAsia" w:ascii="宋体" w:hAnsi="宋体" w:eastAsia="宋体" w:cs="宋体"/>
                <w:color w:val="auto"/>
                <w:sz w:val="21"/>
                <w:szCs w:val="21"/>
                <w:highlight w:val="none"/>
                <w:u w:val="none"/>
                <w:lang w:eastAsia="zh-CN"/>
              </w:rPr>
              <w:t>使用平台</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6"/>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规格：1100*780*1000</w:t>
            </w:r>
          </w:p>
          <w:p>
            <w:pPr>
              <w:pStyle w:val="6"/>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产品描述及性能</w:t>
            </w:r>
          </w:p>
          <w:p>
            <w:pPr>
              <w:pStyle w:val="6"/>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1.采用1.0MM-1.5MM优质冷轧钢板，经除油，酸洗，磷化，打磨，静电喷涂等工艺完成。表面喷涂均匀，光洁度好，塑面经久耐用。</w:t>
            </w:r>
          </w:p>
          <w:p>
            <w:pPr>
              <w:pStyle w:val="6"/>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2.上柜体带有实木的可拆卸扶手和装饰板（即LOGO装饰板）整体设计符合人体工学，白灰色和木纹色双色彩合理搭配，精致优雅，美观大方，高度集成。</w:t>
            </w:r>
          </w:p>
          <w:p>
            <w:pPr>
              <w:pStyle w:val="6"/>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3.所有设计均为圆角过度，溜平固化，重点部位采用一次冲压成型技术，避免直棱直角的尖锐性。</w:t>
            </w:r>
          </w:p>
          <w:p>
            <w:pPr>
              <w:pStyle w:val="6"/>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 整个讲台采用全封闭防盗设计结构，耐磨，防静电等。</w:t>
            </w:r>
          </w:p>
          <w:p>
            <w:pPr>
              <w:pStyle w:val="6"/>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外形设计：采用上下分体式设计，方便运输。上盖门采用左侧单分拉式防尘结构，液晶显示器角度可根据需求自行调节。键盘可抽拉，台面右侧可用来放置笔记本电脑和教案等物品。展台可以放在侧面抽屉内，方便使用，节省空间。下柜体采用对开门设计，并留有主机方便小门，方便老师在不打开下柜时操作使用。讲台后检修门采用百叶窗门设计，通风散热。并配有十字芯锁，方便电脑主机的后面连线操作。</w:t>
            </w:r>
          </w:p>
          <w:p>
            <w:pPr>
              <w:pStyle w:val="6"/>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6.为方便学校对讲台进行管理，可行装IC卡电子锁系统。</w:t>
            </w:r>
          </w:p>
          <w:p>
            <w:pPr>
              <w:pStyle w:val="6"/>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7.支持中控，主机，DVD,功放音箱，展台等所有多媒体系统设备。</w:t>
            </w:r>
          </w:p>
          <w:p>
            <w:pPr>
              <w:pStyle w:val="6"/>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8.讲台可选配配备漏电保护开关及防静电接地装置，老师使用更安全。</w:t>
            </w:r>
          </w:p>
          <w:p>
            <w:pPr>
              <w:pStyle w:val="6"/>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9.讲台内带有固定线位孔，可对柜内所有设备线进行固定，使柜内线井然有序</w:t>
            </w:r>
          </w:p>
          <w:p>
            <w:pPr>
              <w:pStyle w:val="6"/>
              <w:snapToGrid w:val="0"/>
              <w:spacing w:before="0" w:beforeLines="0" w:after="0" w:afterLines="0" w:line="240" w:lineRule="auto"/>
              <w:ind w:firstLine="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10.配备1张网状靠背椅子。</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ascii="宋体" w:hAnsi="宋体" w:eastAsia="宋体" w:cs="宋体"/>
                <w:color w:val="auto"/>
                <w:highlight w:val="none"/>
              </w:rPr>
            </w:pPr>
            <w:r>
              <w:rPr>
                <w:rFonts w:hint="eastAsia" w:ascii="宋体" w:hAnsi="宋体" w:eastAsia="宋体" w:cs="宋体"/>
                <w:color w:val="auto"/>
                <w:highlight w:val="none"/>
              </w:rPr>
              <w:t>31</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6"/>
              <w:snapToGrid w:val="0"/>
              <w:spacing w:line="240" w:lineRule="auto"/>
              <w:ind w:left="0" w:leftChars="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none"/>
              </w:rPr>
              <w:t>教师</w:t>
            </w:r>
            <w:r>
              <w:rPr>
                <w:rFonts w:hint="eastAsia" w:ascii="宋体" w:hAnsi="宋体" w:eastAsia="宋体" w:cs="宋体"/>
                <w:color w:val="auto"/>
                <w:sz w:val="21"/>
                <w:szCs w:val="21"/>
                <w:highlight w:val="none"/>
                <w:u w:val="none"/>
                <w:lang w:eastAsia="zh-CN"/>
              </w:rPr>
              <w:t>终端</w:t>
            </w:r>
          </w:p>
        </w:tc>
        <w:tc>
          <w:tcPr>
            <w:tcW w:w="6390" w:type="dxa"/>
            <w:gridSpan w:val="3"/>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1、处理器：i7-10700； </w:t>
            </w:r>
          </w:p>
          <w:p>
            <w:pPr>
              <w:widowControl/>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2、内存：8GB， 2 个 DIMM 插槽； </w:t>
            </w:r>
          </w:p>
          <w:p>
            <w:pPr>
              <w:widowControl/>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3、硬盘： 1T+256G固态硬盘； </w:t>
            </w:r>
          </w:p>
          <w:p>
            <w:pPr>
              <w:widowControl/>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4、显示器：21.5 寸，含键盘鼠标 </w:t>
            </w:r>
          </w:p>
          <w:p>
            <w:pPr>
              <w:widowControl/>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5、管理：win10系统，出厂自带 BIOS 版还原卡；</w:t>
            </w:r>
          </w:p>
          <w:p>
            <w:pPr>
              <w:widowControl/>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6、显卡：2G 独立显卡</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ascii="宋体" w:hAnsi="宋体" w:eastAsia="宋体" w:cs="宋体"/>
                <w:color w:val="auto"/>
                <w:highlight w:val="none"/>
              </w:rPr>
            </w:pPr>
            <w:r>
              <w:rPr>
                <w:rFonts w:hint="eastAsia" w:ascii="宋体" w:hAnsi="宋体" w:eastAsia="宋体" w:cs="宋体"/>
                <w:color w:val="auto"/>
                <w:highlight w:val="none"/>
              </w:rPr>
              <w:t>32</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6"/>
              <w:snapToGrid w:val="0"/>
              <w:spacing w:line="240" w:lineRule="auto"/>
              <w:ind w:left="0" w:leftChars="0" w:firstLine="0" w:firstLineChars="0"/>
              <w:jc w:val="center"/>
              <w:rPr>
                <w:rFonts w:ascii="宋体" w:hAnsi="宋体" w:eastAsia="宋体" w:cs="宋体"/>
                <w:color w:val="auto"/>
                <w:sz w:val="21"/>
                <w:szCs w:val="21"/>
                <w:highlight w:val="none"/>
              </w:rPr>
            </w:pPr>
            <w:r>
              <w:rPr>
                <w:rFonts w:hint="eastAsia" w:ascii="宋体" w:hAnsi="宋体" w:eastAsia="宋体" w:cs="宋体"/>
                <w:color w:val="auto"/>
                <w:highlight w:val="none"/>
                <w:u w:val="none"/>
              </w:rPr>
              <w:t>▲</w:t>
            </w:r>
            <w:r>
              <w:rPr>
                <w:rFonts w:hint="eastAsia" w:ascii="宋体" w:hAnsi="宋体" w:eastAsia="宋体" w:cs="宋体"/>
                <w:color w:val="auto"/>
                <w:sz w:val="21"/>
                <w:szCs w:val="21"/>
                <w:highlight w:val="none"/>
                <w:u w:val="none"/>
              </w:rPr>
              <w:t>86寸交互式一体机</w:t>
            </w:r>
          </w:p>
        </w:tc>
        <w:tc>
          <w:tcPr>
            <w:tcW w:w="6390" w:type="dxa"/>
            <w:gridSpan w:val="3"/>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1.整机采用一体设计，外部无任何可见内部功能模块连接线。</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2.整机采用全金属外壳设计，边角采用弧形设计，表面无尖锐边缘或凸起。</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3.屏幕采用86英寸液晶显示器。</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4.整机采用UHD超高清LED 液晶屏，显示比例16:9，分辨率3840*2160。</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5.嵌入式系统版本不低于Android9.0，内存≥2GB，存储空间≥8GB。（</w:t>
            </w:r>
            <w:r>
              <w:rPr>
                <w:rFonts w:hint="eastAsia" w:ascii="宋体" w:hAnsi="宋体" w:eastAsia="宋体" w:cs="宋体"/>
                <w:color w:val="auto"/>
                <w:kern w:val="0"/>
                <w:szCs w:val="21"/>
                <w:highlight w:val="none"/>
                <w:lang w:eastAsia="zh-CN" w:bidi="ar"/>
              </w:rPr>
              <w:t>投标文件</w:t>
            </w:r>
            <w:r>
              <w:rPr>
                <w:rFonts w:hint="eastAsia" w:ascii="宋体" w:hAnsi="宋体" w:eastAsia="宋体" w:cs="宋体"/>
                <w:color w:val="auto"/>
                <w:kern w:val="0"/>
                <w:szCs w:val="21"/>
                <w:highlight w:val="none"/>
                <w:lang w:bidi="ar"/>
              </w:rPr>
              <w:t>中提供第三方检测机构出具的权威检测报告）</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6.玻璃厚度≤4mm，玻璃表面硬度≥9H。</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7.整机内置 2.1 声道扬声器，前朝向 15W中高音扬声器 2 个，后朝向 20W 低音扬声器 1 个，额定总功率 50W。</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8.支持传屏功能，可以将外部电脑的屏幕画面通过无线方式传输到整机上显示。（</w:t>
            </w:r>
            <w:r>
              <w:rPr>
                <w:rFonts w:hint="eastAsia" w:ascii="宋体" w:hAnsi="宋体" w:eastAsia="宋体" w:cs="宋体"/>
                <w:color w:val="auto"/>
                <w:kern w:val="0"/>
                <w:szCs w:val="21"/>
                <w:highlight w:val="none"/>
                <w:lang w:eastAsia="zh-CN" w:bidi="ar"/>
              </w:rPr>
              <w:t>投标文件</w:t>
            </w:r>
            <w:r>
              <w:rPr>
                <w:rFonts w:hint="eastAsia" w:ascii="宋体" w:hAnsi="宋体" w:eastAsia="宋体" w:cs="宋体"/>
                <w:color w:val="auto"/>
                <w:kern w:val="0"/>
                <w:szCs w:val="21"/>
                <w:highlight w:val="none"/>
                <w:lang w:bidi="ar"/>
              </w:rPr>
              <w:t>中提供第三方检测机构出具的权威检测报告）</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9.三合一电源按键，同一电源物理按键完成Android系统和Windows系统的开机、节能熄屏、关机操作；关机状态下轻按按键开机；开机状态下轻按按键实现节能熄屏/唤醒，长按按键实现关机。</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10.整机具备至少6个前置按键，实现老师开关机、调出中控菜单、音量+/-、护眼、录屏的操作。</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11.整机具有护眼功能，可通过前置面板物理功能按键一键启用护眼模式。</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12.设备支持通过前置面板物理按键一键启动录屏功能，可将屏幕中显示的课件、音频内容与老师人声同时录制。</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13.支持通道记忆功能，开机默认回到最近一次关机时的显示通道。</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14.整机内置非独立的高清摄像头，可拍摄不低于 800 万像素数的照片，摄像头对角角度≥120度。支持远程巡课应用。</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15.整机内置摄像头（非外扩），PC通道下支持通过视频展台软件调用摄像头进行二维码扫码识别。</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16.整机内置非独立外扩展的阵列麦克风，可用于对教室环境音频进行采集，拾音距离≥12米。</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17.内置摄像头、麦克风，无外接线材连接，无可见模块化拼接，未占用整机设备端口。</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18.外接电脑设备通过HDMI线投送画面至整机时，再连接TypeB USB线至整机触控输出接口，即可直接调用整机内置的摄像头、麦克风、扬声器，在外接电脑即可拍摄教室画面。</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19.支持前置Type-C接口，通过Type-C接口实现音视频输入，外接电脑设备通过标准TypeC线连接至整机TypeC口，即可把外接电脑设备画面投到整机上，同时在整机上操作画面，可实现触摸电脑的操作，无需再连接触控USB线。</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20.外接电脑设备通过机外TypeC线连接至整机Type-C口，可直接调用整机内置的摄像头、麦克风、扬声器，在外接电脑可拍摄教室画面。</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21.支持通道自动跳转功能，如整机处于正常使用状态，HDMI信号接入时，能自动识别并切换到对应的HDMI信号源通道，且断开后能回到上一通道，自动跳转前支持选择确认，待确认后再跳转。</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22.支持外接信号输入时自动唤醒功能，整机处于关机通电状态，外接电脑显示信号通过HDMI传输线连接至整机时，整机可智能识别外接电脑设备信号输入并自动开机。</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23.整机关机状态下，通过长按电源键进入设置界面后，可点击屏幕选择恢复整机系统及Windows操作系统到出厂默认状态，无需额外工具辅助。</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24.支持半屏模式，将Windows显示画面上半部分下拉到显示屏的下半部分显示，此时依然可以正常触控操作Windows系统；点击非Windows显示画面区域，即可退出该模式，无需其他设置。</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25.具备智能手势识别功能，在任意信号源通道下可识别五指上、下、左、右方向手势滑动并调用响应功能，支持将各手势滑动方向自定义设置为无操作、熄屏、批注、桌面、半屏模式。</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26.整机内置专业硬件自检维护工具（不接受第三方工具），支持对触摸框、PC模块等模块进行检测，针对不同模块给出问题原因提示。（投标文件中提供第三方检测机构出具的检测报告证明）</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27.整机视网膜蓝光危害（蓝光加权辐射亮度LB）符合IEC62471标准，LB限值范围≤0.55（蓝光危害最大状况下）。</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28.前置 USB 接口具备防撞挡板设计，防撞挡板采用转轴式翻转。</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29.内置蓝牙模块，能连接外部蓝牙音箱播放音频，也能接收外部手机通过蓝牙发送的文件。蓝牙支持 Bluetooth 4.2 标准。内置蓝牙模块工作距离不低于12米。</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30.支持标准、HDR、节能图像模式调节。</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31.支持同一支红外笔笔头、笔尾书写不同的颜色，且颜色可自定义。</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32.采用钢化玻璃，有效保护屏幕显示画面。</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33.玻璃表面采用纳米材料镀膜环保工艺，书写更加顺滑，防眩光效果更加优异。</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34.机身具备防盐雾锈蚀特性，且满足GB4943.1-2011标准中的防火要求。</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35.整机具备抗振动、防跌落特性，保证整机运输或使用过程中不易受损。</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36.整机在0℃- 40℃环境下可正常工作，在-20℃—60℃的环境下可正常贮存且贮存后功能无损。</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37.具备电视遥控功能和电脑键盘常用的F1—F12功能键及Alt+F4、Alt+Tab、Space、Enter、windows等快捷按键，可实现一键开启交互白板软件、PPT上下翻页、一键锁定/解锁触摸及整机实体按键、一键熄屏的功能。</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38.支持通过Type-C接口U盘进行文件传输，兼容手机充电。</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39.屏幕显示灰度分辨等级达到256级以上灰阶。</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40.整机在五分钟内处于无信号接收状态时，能够自动关机。</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41.内置触摸中控菜单，将信号源通道切换、护眼、声音调节等整合到同一菜单下，无须实体按键，在任意显示通道下均可通过手势在屏幕上调取该触摸菜单。</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42.整机在任意通道的侧拉栏批注模式下，支持通过手势识别调出板擦工具擦除批注内容，可根据手与屏幕的接触面积自动调整板擦工具的大小。</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43.触摸屏在照度100k lux 环境下仍能正常工作。</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44.触摸分辨率32768×32768。触摸响应时间≤4ms。触摸最小识别物≤3mm。整机屏幕触摸有效识别高度不超过3.5mm,，即触摸物体距离玻璃外表面高度不超过3.5mm时，触摸屏识别为点击操作。 </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45.触摸屏具有防遮挡功能，触摸接收器在单点或多点遮挡后仍能正常书写。</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46.Windows XP、Windows 7、Windows 8、Windows 8.1、 Windows 10、Linux、Mac Os系统外置电脑操作系统接入时，无需安装触摸框驱动。</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47.嵌入式Android操作系统下，互动白板支持不同背景颜色，同时提供学科专用背景，如：五线谱、信纸、田字格、英文格、篮球和足球场地平面图。</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48.无PC状态下，嵌入式系统内置互动白板支持十笔书写及手掌擦除（手掌擦除面积根据手掌与屏幕的接触面大小自动调整），白板书写内容可导出PDF、IWB、SVG等格式。支持10种以上平面图形工具，支持8种以上立体图形工具。</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49.无PC状态下，嵌入式系统内置互动白板支持全局漫游，并能在工具栏中对全局内容进行预览和移动</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50.无PC状态下，嵌入式Android操作系统下可实现windows系统中常用的教学应用功能，如白板书写、WPS软件使用、网页浏览。（投标文件中提供第三检方测机构出具的检测报告证明）</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51.在嵌入式Android操作系统下，能对TV多媒体USB所读取到的文件进行自动归类，可快速分类查找文档、板书、图片、音视频，检索后可直接在界面中打开。</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52.电脑模块</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53.主板南桥采用H310芯片组，搭载Intel 酷睿系列 i5 CPU</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54.内存：8GB DDR4笔记本内存或以上配置。</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55.硬盘：256GB或以上SSD固态硬盘</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56.机身采用热浸镀锌金属材质，采用智能风扇低噪音散热设计,模块主体尺寸不小于22cm*17cm*3cm以预留足够散热空间，确保封闭空间内有效散热。</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57.PC模块可抽拉式插入整机，可实现无单独接线的插拔。</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58.和整机的连接采用万兆级接口，传输速率≥10Gbps。（投标文件中提供第三方检测机构出具的检测报告证明）</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59.采用按压式卡扣，无需工具就可快速拆卸电脑模块。（投标文件中提供第三方检测机构出具的检测报告证明）</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60.具有独立非外扩展的视频输出接口：≥1路HDMI 。</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61.具有独立非外扩展的电脑USB接口：≥3路USB。</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62.具有标准PC防盗锁孔。</w:t>
            </w:r>
          </w:p>
          <w:p>
            <w:pPr>
              <w:widowControl/>
              <w:jc w:val="left"/>
              <w:rPr>
                <w:rFonts w:ascii="宋体" w:hAnsi="宋体" w:eastAsia="宋体" w:cs="宋体"/>
                <w:color w:val="auto"/>
                <w:sz w:val="21"/>
                <w:szCs w:val="21"/>
                <w:highlight w:val="none"/>
              </w:rPr>
            </w:pPr>
            <w:r>
              <w:rPr>
                <w:rFonts w:hint="eastAsia" w:ascii="宋体" w:hAnsi="宋体" w:eastAsia="宋体" w:cs="宋体"/>
                <w:color w:val="auto"/>
                <w:kern w:val="0"/>
                <w:szCs w:val="21"/>
                <w:highlight w:val="none"/>
                <w:lang w:bidi="ar"/>
              </w:rPr>
              <w:t>63.PC模块的USB接口须为冗余备份接口，在正常使用整机的内置摄像头、内置麦克风功能时，USB接口不被占用，确保教师有足够的接口外接存储设备及显示设备</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33</w:t>
            </w:r>
          </w:p>
        </w:tc>
        <w:tc>
          <w:tcPr>
            <w:tcW w:w="2415" w:type="dxa"/>
            <w:gridSpan w:val="3"/>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无线传屏器</w:t>
            </w:r>
          </w:p>
        </w:tc>
        <w:tc>
          <w:tcPr>
            <w:tcW w:w="6390" w:type="dxa"/>
            <w:gridSpan w:val="3"/>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1.采用USB端口进行传输，可兼容市面上具备通用USB端子的各类电脑。（提供第三方检测中心所出具的权威检测报告）</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2.采用单按键设计，只需按一下即可传屏，无需在智能平板上做任何操作。（提供第三方检测中心所出具的权威检测报告）</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3.通过数字信号传输，信号更稳定，抗干扰性强</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4.传输分辨率：支持1920*1080@30Hz</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5.传屏器功耗：不超过2.5W</w:t>
            </w:r>
          </w:p>
          <w:p>
            <w:pPr>
              <w:widowControl/>
              <w:jc w:val="left"/>
              <w:rPr>
                <w:rFonts w:hint="eastAsia" w:ascii="宋体" w:hAnsi="宋体" w:eastAsia="宋体" w:cs="宋体"/>
                <w:color w:val="auto"/>
                <w:highlight w:val="none"/>
              </w:rPr>
            </w:pPr>
            <w:r>
              <w:rPr>
                <w:rFonts w:hint="eastAsia" w:ascii="宋体" w:hAnsi="宋体" w:eastAsia="宋体" w:cs="宋体"/>
                <w:color w:val="auto"/>
                <w:kern w:val="0"/>
                <w:szCs w:val="21"/>
                <w:highlight w:val="none"/>
                <w:lang w:bidi="ar"/>
              </w:rPr>
              <w:t>6.电脑免驱，无需额外安装驱动，连接上即可使用。</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个</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34</w:t>
            </w:r>
          </w:p>
        </w:tc>
        <w:tc>
          <w:tcPr>
            <w:tcW w:w="2415" w:type="dxa"/>
            <w:gridSpan w:val="3"/>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实验操作台</w:t>
            </w:r>
          </w:p>
        </w:tc>
        <w:tc>
          <w:tcPr>
            <w:tcW w:w="6390" w:type="dxa"/>
            <w:gridSpan w:val="3"/>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1.基材：采用优质E1级三胺板，台面厚度25，甲醛释放量不超过5mg/100g。</w:t>
            </w:r>
          </w:p>
          <w:p>
            <w:pPr>
              <w:widowControl/>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2.台面贴面：选用双贴三聚氰胺浸渍面纸饰面。</w:t>
            </w:r>
          </w:p>
          <w:p>
            <w:pPr>
              <w:widowControl/>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3.封边：双色PVC封边、厚度不小于2mm。</w:t>
            </w:r>
          </w:p>
          <w:p>
            <w:pPr>
              <w:widowControl/>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4.防腐等工艺处理，表面阿克苏静电粉末喷涂处理，连接配件用铝合金。</w:t>
            </w:r>
          </w:p>
          <w:p>
            <w:pPr>
              <w:widowControl/>
              <w:jc w:val="left"/>
              <w:rPr>
                <w:rFonts w:hint="eastAsia" w:ascii="宋体" w:hAnsi="宋体" w:eastAsia="宋体" w:cs="宋体"/>
                <w:color w:val="auto"/>
                <w:highlight w:val="none"/>
              </w:rPr>
            </w:pPr>
            <w:r>
              <w:rPr>
                <w:rFonts w:hint="eastAsia" w:ascii="宋体" w:hAnsi="宋体" w:eastAsia="宋体" w:cs="宋体"/>
                <w:color w:val="auto"/>
                <w:kern w:val="0"/>
                <w:szCs w:val="21"/>
                <w:highlight w:val="none"/>
                <w:lang w:val="en-US" w:eastAsia="zh-CN" w:bidi="ar"/>
              </w:rPr>
              <w:t>5.尺寸：2000*700*800</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3套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35</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6"/>
              <w:snapToGrid w:val="0"/>
              <w:spacing w:line="240" w:lineRule="auto"/>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装饰装修</w:t>
            </w:r>
          </w:p>
        </w:tc>
        <w:tc>
          <w:tcPr>
            <w:tcW w:w="6390" w:type="dxa"/>
            <w:gridSpan w:val="3"/>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w:t>
            </w:r>
            <w:r>
              <w:rPr>
                <w:rFonts w:hint="eastAsia" w:ascii="宋体" w:hAnsi="宋体" w:eastAsia="宋体" w:cs="宋体"/>
                <w:color w:val="auto"/>
                <w:kern w:val="0"/>
                <w:szCs w:val="21"/>
                <w:highlight w:val="none"/>
                <w:lang w:val="en-US" w:eastAsia="zh-CN" w:bidi="ar"/>
              </w:rPr>
              <w:t>教室面积88平，简单装修，综合布线；</w:t>
            </w:r>
          </w:p>
          <w:p>
            <w:pPr>
              <w:widowControl/>
              <w:ind w:firstLine="210" w:firstLineChars="100"/>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（1）现有教室装修拆除，墙面粉刷、乳胶漆；</w:t>
            </w:r>
          </w:p>
          <w:p>
            <w:pPr>
              <w:widowControl/>
              <w:ind w:firstLine="210" w:firstLineChars="100"/>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（2） 综合布线：</w:t>
            </w:r>
          </w:p>
          <w:p>
            <w:pPr>
              <w:widowControl/>
              <w:ind w:firstLine="420" w:firstLineChars="200"/>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强电：电路设计：主路需使用BV4.0以上线径，支路电线需使用BV2.5以上线径，照明线为BV1.5以上线径，插座线为2.5以上线径。线材所有电线应按JB/T 5023-2008生产标准执行，线芯使用高精度无氧铜，外面为PC阻燃低烟绝缘层，厚度不低于0.8mm。所有插座回路需有三根不同颜色电线构成，便于标记及维修，照明线路需单独一个回来，禁止就近拉扯。</w:t>
            </w:r>
          </w:p>
          <w:p>
            <w:pPr>
              <w:widowControl/>
              <w:ind w:firstLine="420" w:firstLineChars="200"/>
              <w:jc w:val="left"/>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弱电：网线：符合TIA/EIA 568B 2六类屏蔽标准；线规：23AWG，外径6.5±0.2mm；无铅外皮，护套为常用PVC或阻燃PVC护套，含十字芯分隔材料；双铝铂屏蔽层。3个无线路由</w:t>
            </w:r>
            <w:r>
              <w:rPr>
                <w:rFonts w:hint="eastAsia" w:ascii="宋体" w:hAnsi="宋体" w:cs="宋体"/>
                <w:color w:val="auto"/>
                <w:kern w:val="0"/>
                <w:szCs w:val="21"/>
                <w:highlight w:val="none"/>
                <w:lang w:val="en-US" w:eastAsia="zh-CN" w:bidi="ar"/>
              </w:rPr>
              <w:t>。</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1批</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36</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6"/>
              <w:snapToGrid w:val="0"/>
              <w:spacing w:line="240" w:lineRule="auto"/>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highlight w:val="none"/>
                <w:u w:val="none"/>
              </w:rPr>
              <w:t>▲</w:t>
            </w:r>
            <w:r>
              <w:rPr>
                <w:rStyle w:val="12"/>
                <w:rFonts w:hint="eastAsia" w:ascii="宋体" w:hAnsi="宋体" w:eastAsia="宋体" w:cs="宋体"/>
                <w:color w:val="auto"/>
                <w:sz w:val="21"/>
                <w:szCs w:val="21"/>
                <w:highlight w:val="none"/>
                <w:lang w:bidi="ar"/>
              </w:rPr>
              <w:t>人工智能机器人开发套件（智能小车）</w:t>
            </w:r>
          </w:p>
        </w:tc>
        <w:tc>
          <w:tcPr>
            <w:tcW w:w="6390" w:type="dxa"/>
            <w:gridSpan w:val="3"/>
            <w:tcBorders>
              <w:top w:val="single" w:color="auto" w:sz="4" w:space="0"/>
              <w:left w:val="nil"/>
              <w:bottom w:val="single" w:color="auto" w:sz="4" w:space="0"/>
              <w:right w:val="single" w:color="auto" w:sz="4" w:space="0"/>
            </w:tcBorders>
            <w:noWrap w:val="0"/>
            <w:vAlign w:val="center"/>
          </w:tcPr>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系统整体要求人工智能机器人开发套件结合了机械、电子、传感器、计算机软硬件、机器人操作系统、人工智能等众多的先进技术。</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金属结构件能够轻易完成机械结构搭建，配合高性能的微处理器，多种常用传感器，若干电机及舵机，方便验证机器人结构的运动特性、微处理器及机器人操作系统等方面的实验。</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能够结合人工智能让机器人更加智能，基于TensorFlow框架开发完成训练模型、调试参数、打包模型一系列人工智能开发流程。</w:t>
            </w:r>
          </w:p>
          <w:p>
            <w:pPr>
              <w:pStyle w:val="13"/>
              <w:snapToGrid w:val="0"/>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一、硬件要求</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1、铝合金板件1套：通过16块的钣金件能够组装车模。</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2、直流减速电机4台；</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3、格氏3S/25C/1300mA动力锂电池2个；</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4、3S锂电池平衡充1个；</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5、12V/2A电源适配器1个；</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6、全向车驱动模组1套；</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7、Cortex-M4核心板</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主控芯片：STM32F407；具有USB转串口；RGB三色LED；电机控制、正交码盘、舵机控制、定时器扩展、GPIO等扩展端口；</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8、ST-LINK V2仿真器1个；</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9、DEBUG仿真接口转接板1块；</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10、传感器功能板</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具有OLED显示：128*64，SPI接口；ESP-32S单元：蓝牙+Wi-Fi双模；5路用户按键单元；MPU6050六轴传感单元；HMC5883L三轴电子罗盘单元； </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11、人工智能运算单元主板</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处理器1.4GHz四核ARM Cortex-A53；内存1GB；千兆以太网卡；无线网卡1个；低功耗蓝牙4.2（BLE）1个；HDMI接口1路；USB2.0接口4路；3.5mm音频输出接口1个；GPIO接口40PIN；CSI摄像头接口1个；DSI显示接口1个。</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12、ROS运算单元主板</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采用树莓派3B+：处理器1.4GHz四核ARM Cortex-A53；内存1GB；千兆以太网卡；无线网卡1个；低功耗蓝牙4.2（BLE）1个；HDMI接口1路；USB2.0接口4路；3.5mm音频输出接口1个；GPIO接口40PIN；CSI摄像头接口1个；DSI显示接口1个。</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13、工业级USB免驱摄像头2个；</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24位图像色彩，MJPEG图像下：输出分辨率1920*1080时31帧成像，输出分辨率1280*720时60帧成像，输出分辨率800*600时60帧成像，输出分辨率640*480时120帧成像，120°广角无畸变；</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14、360度激光雷达1个；</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测量范围≥12米半径；至少具有360度扫描测距；测量频率≥8000次/秒；至少具有2-10Hz可配置的扫描频率，具有光磁融合；即插即用，且必须配备串口和USB接口；</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15、3英寸麦克纳姆轮4个；</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碳钢一体成型轮毂；深沟轴承(国产)；钢板表面镀镍；</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16、摄像头转向舵机1个，转动角度≥180度；</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17、7寸HDMI显示器1套；</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分辨率≥1024*600；至少一路USB触摸接口；至少一路HDMI显示接口；</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18、嵌入式AI控制单元</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Cortex-M3内核的STM32F103系列处理器，最高主频72MHz，LQFP64封装，具有64KB的RAM和512KB的FLASH。</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主要用于工业机械臂控制；至少一路WiFi通信模块：ESP8266-12F；至少一路SWD仿真器接口；拥有蜂鸣器、RGB彩灯；预留扩展端口；</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19、工业机械臂</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带反馈的可编程机械手臂，包含 6 个高寿命串行总线舵机，每个舵机可以反馈位置、电压、温度等数据； PS2手柄</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串行通信，至少可实现按键控制以及摇杆控制。</w:t>
            </w:r>
          </w:p>
          <w:p>
            <w:pPr>
              <w:pStyle w:val="13"/>
              <w:snapToGrid w:val="0"/>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二、软件资源</w:t>
            </w:r>
          </w:p>
          <w:p>
            <w:pPr>
              <w:pStyle w:val="13"/>
              <w:numPr>
                <w:ilvl w:val="0"/>
                <w:numId w:val="6"/>
              </w:numPr>
              <w:snapToGrid w:val="0"/>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提供智能车控制系统软件，内容包含：</w:t>
            </w:r>
          </w:p>
          <w:p>
            <w:pPr>
              <w:pStyle w:val="13"/>
              <w:numPr>
                <w:ilvl w:val="0"/>
                <w:numId w:val="7"/>
              </w:numPr>
              <w:snapToGrid w:val="0"/>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STM32主控部分</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提供QMC5883L驱动实验、MPU6050驱动实验、MPU6050内部DMP固件移植解析、ESP-32S Wi-Fi透传实验等实验，实验数量≥18个，投标时提供详细实验清单；</w:t>
            </w:r>
          </w:p>
          <w:p>
            <w:pPr>
              <w:pStyle w:val="13"/>
              <w:numPr>
                <w:ilvl w:val="0"/>
                <w:numId w:val="7"/>
              </w:numPr>
              <w:snapToGrid w:val="0"/>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ROS部分：</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提供机器人建模与仿真—urdf/xacro；如何实现Gazebo仿真；工具介绍及简单使用演示；添加摄像头功能包；添加雷达功能包；实现与stm32的通信；action使用；按键控制；视觉识别；雷达数据避障等实验，实验数量≥22个，投标时提供详细实验清单；</w:t>
            </w:r>
          </w:p>
          <w:p>
            <w:pPr>
              <w:pStyle w:val="13"/>
              <w:numPr>
                <w:ilvl w:val="0"/>
                <w:numId w:val="6"/>
              </w:numPr>
              <w:snapToGrid w:val="0"/>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提供人工智能实验系统软件，内容包含：</w:t>
            </w:r>
          </w:p>
          <w:p>
            <w:pPr>
              <w:pStyle w:val="13"/>
              <w:numPr>
                <w:ilvl w:val="0"/>
                <w:numId w:val="8"/>
              </w:numPr>
              <w:snapToGrid w:val="0"/>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人工智能基础实验，实验数量≥6个，投标时提供详细实验清单； </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2）基本处理算法模型实验：至少包括机器学习中分类问题、回归预测问题两类问题的算法实验，实验数量≥3个，投标时提供详细实验清单；</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3）神经网络算法实验：至少包括基于前馈人工神经、基于闭合回路的递归神经、基于反向传播算法进行空间表征的压缩重构的网络模型算法实验，实验数量≥5个，投标时提供详细实验清单；</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4）TensorFlow实用技术实验：至少包括对训练出来的模型进行保存和恢复以进行新的预测，TensorFlow中Graph的可视化以及训练过程中loss的可视化实验，投标时提供详细实验清单；</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5）高级框架TFlearn实验：至少提供包括基于Fine-tuning实现对原模型的微调以及大型数据集的处理方案算法实验，且实验数量≥5个，投标时提供详细实验清单；</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6）TFlearn视觉网络：提供基于TFlearn计算机视觉处理处理网络算法实验，实验数量≥6个，投标时提供详细实验清单；</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7）基于百度AI开放平台的人工智能图像识别实验，实验数量≥5个，投标时提供详细实验清单；</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8）基于百度AI开放平台的人工智能语音识别实验；</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9）基于百度AI开放平台的人工智能人脸识别实验：提供至少包括人脸检测、人脸识别、改进返回值实验，实验数量≥4个，投标时提供详细实验清单；</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人工智能应用实验：提供可以离线训练并识别的人工智能应用实验源码，至少包括OpenCV图像采集以及处理、手写数字识别、车牌识别、目标检测、人脸识别、语音识别应用实验算法实验，实验数量≥7个，投标时提供详细实验清单。</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1、机器人地图构建</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在硬件上采用激光雷达和带码盘的直流减速电机来分别提供深度信息和里程计信息，利用ros中开源项目gmapping功能包，通过仿真软件rviz，实现室内slam地图构建。</w:t>
            </w:r>
          </w:p>
          <w:p>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2、Navigation自动导航</w:t>
            </w:r>
          </w:p>
          <w:p>
            <w:pPr>
              <w:pStyle w:val="14"/>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在已经构建完成的地图上，利用开源项目amcl定位功能包和move_base功能包，并采集雷达和里程计信息，使用仿真软件rviz，实现机器人的自动避障导航。</w:t>
            </w:r>
          </w:p>
          <w:p>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3、机器人手势识别</w:t>
            </w:r>
          </w:p>
          <w:p>
            <w:pPr>
              <w:pStyle w:val="14"/>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通过图像处理识别不同的手势。</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4、机器人目标跟踪</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选择跟踪区域，ROS机器人或者机械臂会对选择的目标进行实时跟踪，并可以查看目标在摄像头所在范围的区域。</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5、智能音响机器人控制</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过麦克风阵列完成语音采集，将采集到的语音进行识别，并在识别完成对其识别到的文字信息进行提取，找到需要匹配的技能之后，一方面，对该技能进行控制下发，另一方面，将需要应对的文字进行语音合成，合成后播放，完成应答。</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6、遥控化机器人</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通过PS2手柄完成对ROS机器人以及机械臂的控制，包括ROS机器人基于麦克纳姆轮在平面上的360度运动，以及机械臂的运动抓取控制等等。</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7、实时跟踪全倾斜摄像机平台</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通过摄像头捕获拍摄场景，用户选择HSV颜色区间，可以对某物体进行颜色背景分割，运算器可对该物体进行位置标注并控制机械臂对其进行跟踪，使其一直保持处于摄像头捕获场景的正中心。</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8、博物馆引导机器人</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可在博物馆或者会场进行引导导航，在博物馆中，可设置A、B、C三个展柜的坐标系，该坐标系的原点是固定的，为机器人出发点。在用户选择去哪个展柜进行参观后（三个展柜可同时选择或者只选择某些展柜，并且顺序可调换），有两种方式对用户进行引导：</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定距离方式，该方式相对比较简单，只作为学生学习坐标系变换和机器人传感器数据处理时使用，该方式可通过笛卡尔坐标系与极坐标系的转换，不通过地图构建与导航的方式直接与传感器数据进行交互，实现引导作用。</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2）、定点方式：该方式需要对博物馆或者会场的地图进行构建，构建后选择要参观的展柜，机器人会根据构建好的地图与自身的坐标实现引导作用。</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机器人在引导过程中会实现语音播报，提示用户到达某个点或者要前往什么地点。播报内容可修改以使用不同的场景，在引导完毕后，机器人会返回出发点等待下次引导。</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9、餐厅送餐机器人</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可在餐厅中实现机器人送餐，该项目将AI+ROS+机械臂结合起来，以厨房为第一视角，在完成食物制作后，将食物放到机器人上，机器人会根据食物上的餐桌二维码判断送达地点，并可通过两种方式对食物进行配送：</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1）、定距离的方式：该方式通过运算器与传感器的数据交互与处理，实现食物配送。</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2）、定点方式：该方式可提前构建餐厅地图，在判断到达地点后完成自动导航的食物配送。</w:t>
            </w:r>
          </w:p>
          <w:p>
            <w:pPr>
              <w:pStyle w:val="13"/>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配送到达后，机械臂会从机器人上将食物取下，并进行语音提示，语音可修改以适配不同场景，在语音提示后，机器人会返回厨房等待下次配送。</w:t>
            </w:r>
          </w:p>
          <w:p>
            <w:pPr>
              <w:pStyle w:val="13"/>
              <w:snapToGrid w:val="0"/>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四、其它</w:t>
            </w:r>
          </w:p>
          <w:p>
            <w:pPr>
              <w:pStyle w:val="13"/>
              <w:numPr>
                <w:ilvl w:val="0"/>
                <w:numId w:val="9"/>
              </w:numPr>
              <w:snapToGrid w:val="0"/>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为辅助老师课程建设，制造商需有丰富的线上线下培训经验，有能力提供至少4个月嵌入式人工智能的线下正规培训名额；能够提供在线课程账号至少2个，每个账号应不少于100学时；（投标文件中提供在线课程网址，并提供截图证明）</w:t>
            </w:r>
          </w:p>
          <w:p>
            <w:pPr>
              <w:pStyle w:val="13"/>
              <w:numPr>
                <w:ilvl w:val="0"/>
                <w:numId w:val="9"/>
              </w:numPr>
              <w:snapToGrid w:val="0"/>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制造商需有良好的产品研发质量体系保障。</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3套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37</w:t>
            </w:r>
          </w:p>
        </w:tc>
        <w:tc>
          <w:tcPr>
            <w:tcW w:w="2415" w:type="dxa"/>
            <w:gridSpan w:val="3"/>
            <w:tcBorders>
              <w:top w:val="single" w:color="auto" w:sz="4" w:space="0"/>
              <w:left w:val="nil"/>
              <w:bottom w:val="single" w:color="auto" w:sz="4" w:space="0"/>
              <w:right w:val="single" w:color="auto" w:sz="4" w:space="0"/>
            </w:tcBorders>
            <w:noWrap w:val="0"/>
            <w:vAlign w:val="center"/>
          </w:tcPr>
          <w:p>
            <w:pPr>
              <w:pStyle w:val="6"/>
              <w:snapToGrid w:val="0"/>
              <w:spacing w:line="240" w:lineRule="auto"/>
              <w:ind w:left="0" w:leftChars="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none"/>
                <w:lang w:eastAsia="zh-CN"/>
              </w:rPr>
              <w:t>便携式控制终端</w:t>
            </w:r>
          </w:p>
        </w:tc>
        <w:tc>
          <w:tcPr>
            <w:tcW w:w="6390" w:type="dxa"/>
            <w:gridSpan w:val="3"/>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1、处理器：</w:t>
            </w:r>
            <w:r>
              <w:rPr>
                <w:rFonts w:hint="eastAsia" w:ascii="宋体" w:hAnsi="宋体" w:eastAsia="宋体" w:cs="宋体"/>
                <w:color w:val="auto"/>
                <w:szCs w:val="21"/>
                <w:highlight w:val="none"/>
              </w:rPr>
              <w:t>i5-1135G7</w:t>
            </w:r>
            <w:r>
              <w:rPr>
                <w:rFonts w:hint="eastAsia" w:ascii="宋体" w:hAnsi="宋体" w:eastAsia="宋体" w:cs="宋体"/>
                <w:color w:val="auto"/>
                <w:kern w:val="0"/>
                <w:szCs w:val="21"/>
                <w:highlight w:val="none"/>
                <w:lang w:bidi="ar"/>
              </w:rPr>
              <w:t xml:space="preserve">； </w:t>
            </w:r>
          </w:p>
          <w:p>
            <w:pPr>
              <w:widowControl/>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2、内存：16GB； </w:t>
            </w:r>
          </w:p>
          <w:p>
            <w:pPr>
              <w:widowControl/>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3、硬盘： 512G硬盘； </w:t>
            </w:r>
          </w:p>
          <w:p>
            <w:pPr>
              <w:widowControl/>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4、显示器：14英寸 </w:t>
            </w:r>
          </w:p>
          <w:p>
            <w:pPr>
              <w:widowControl/>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5、管理：</w:t>
            </w:r>
            <w:r>
              <w:rPr>
                <w:rFonts w:hint="eastAsia" w:ascii="宋体" w:hAnsi="宋体" w:eastAsia="宋体" w:cs="宋体"/>
                <w:color w:val="auto"/>
                <w:szCs w:val="21"/>
                <w:highlight w:val="none"/>
              </w:rPr>
              <w:t>高色域，指纹识别，</w:t>
            </w:r>
            <w:r>
              <w:rPr>
                <w:rFonts w:hint="eastAsia" w:ascii="宋体" w:hAnsi="宋体" w:eastAsia="宋体" w:cs="宋体"/>
                <w:color w:val="auto"/>
                <w:kern w:val="0"/>
                <w:szCs w:val="21"/>
                <w:highlight w:val="none"/>
                <w:lang w:bidi="ar"/>
              </w:rPr>
              <w:t>win10系统，出厂自带 BIOS 版还原卡；</w:t>
            </w:r>
          </w:p>
          <w:p>
            <w:pPr>
              <w:widowControl/>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6、显卡：</w:t>
            </w:r>
            <w:r>
              <w:rPr>
                <w:rFonts w:hint="eastAsia" w:ascii="宋体" w:hAnsi="宋体" w:eastAsia="宋体" w:cs="宋体"/>
                <w:color w:val="auto"/>
                <w:szCs w:val="21"/>
                <w:highlight w:val="none"/>
              </w:rPr>
              <w:t xml:space="preserve">MX450 </w:t>
            </w:r>
            <w:r>
              <w:rPr>
                <w:rFonts w:hint="eastAsia" w:ascii="宋体" w:hAnsi="宋体" w:eastAsia="宋体" w:cs="宋体"/>
                <w:color w:val="auto"/>
                <w:kern w:val="0"/>
                <w:szCs w:val="21"/>
                <w:highlight w:val="none"/>
                <w:lang w:bidi="ar"/>
              </w:rPr>
              <w:t>2G 独立显卡；</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4台</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00"/>
              </w:tabs>
              <w:spacing w:before="120"/>
              <w:jc w:val="left"/>
              <w:textAlignment w:val="center"/>
              <w:rPr>
                <w:rFonts w:hint="eastAsia" w:ascii="宋体" w:hAnsi="宋体" w:eastAsia="宋体" w:cs="宋体"/>
                <w:color w:val="auto"/>
                <w:highlight w:val="none"/>
              </w:rPr>
            </w:pPr>
            <w:r>
              <w:rPr>
                <w:rFonts w:hint="eastAsia" w:ascii="宋体" w:hAnsi="宋体" w:eastAsia="宋体" w:cs="宋体"/>
                <w:color w:val="auto"/>
                <w:highlight w:val="none"/>
              </w:rPr>
              <w:t>38</w:t>
            </w:r>
          </w:p>
        </w:tc>
        <w:tc>
          <w:tcPr>
            <w:tcW w:w="2415" w:type="dxa"/>
            <w:gridSpan w:val="3"/>
            <w:tcBorders>
              <w:top w:val="single" w:color="auto" w:sz="4" w:space="0"/>
              <w:left w:val="nil"/>
              <w:bottom w:val="single" w:color="auto" w:sz="4" w:space="0"/>
              <w:right w:val="single" w:color="auto" w:sz="4" w:space="0"/>
            </w:tcBorders>
            <w:noWrap w:val="0"/>
            <w:vAlign w:val="center"/>
          </w:tcPr>
          <w:p>
            <w:pPr>
              <w:tabs>
                <w:tab w:val="center" w:pos="1099"/>
              </w:tabs>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可编程控制器</w:t>
            </w:r>
          </w:p>
        </w:tc>
        <w:tc>
          <w:tcPr>
            <w:tcW w:w="6390" w:type="dxa"/>
            <w:gridSpan w:val="3"/>
            <w:tcBorders>
              <w:top w:val="single" w:color="auto" w:sz="4" w:space="0"/>
              <w:left w:val="nil"/>
              <w:bottom w:val="single" w:color="auto" w:sz="4" w:space="0"/>
              <w:right w:val="single" w:color="auto" w:sz="4" w:space="0"/>
            </w:tcBorders>
            <w:noWrap w:val="0"/>
            <w:vAlign w:val="center"/>
          </w:tcPr>
          <w:p>
            <w:pPr>
              <w:spacing w:before="163" w:after="16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可编程控制器实验系统</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50套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39</w:t>
            </w:r>
          </w:p>
        </w:tc>
        <w:tc>
          <w:tcPr>
            <w:tcW w:w="2415" w:type="dxa"/>
            <w:gridSpan w:val="3"/>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触摸屏组件</w:t>
            </w:r>
          </w:p>
        </w:tc>
        <w:tc>
          <w:tcPr>
            <w:tcW w:w="6390" w:type="dxa"/>
            <w:gridSpan w:val="3"/>
            <w:tcBorders>
              <w:top w:val="single" w:color="auto" w:sz="4" w:space="0"/>
              <w:left w:val="nil"/>
              <w:bottom w:val="single" w:color="auto" w:sz="4" w:space="0"/>
              <w:right w:val="single" w:color="auto" w:sz="4" w:space="0"/>
            </w:tcBorders>
            <w:noWrap w:val="0"/>
            <w:vAlign w:val="center"/>
          </w:tcPr>
          <w:p>
            <w:pPr>
              <w:spacing w:before="163" w:after="16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性能不低于KTP700 Basic PN 7寸液晶显示，65536色，PROFINET通讯接口，带8个按键，用户内存为10MB，带一个USB接口，报警数量1000个，报警类别为32个，支持画面100张，变量800个，支持配方和归档处理；</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40</w:t>
            </w:r>
          </w:p>
        </w:tc>
        <w:tc>
          <w:tcPr>
            <w:tcW w:w="2415" w:type="dxa"/>
            <w:gridSpan w:val="3"/>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触摸屏组件</w:t>
            </w:r>
          </w:p>
        </w:tc>
        <w:tc>
          <w:tcPr>
            <w:tcW w:w="6390" w:type="dxa"/>
            <w:gridSpan w:val="3"/>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采用MCGS TPC7062Ti触摸屏,以先进的Cortex-A8 CPU为核心,主频600MHz,7英寸高亮度TFT液晶显示屏（分辨率800×480）支持RS485和以太网通讯。</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41</w:t>
            </w:r>
          </w:p>
        </w:tc>
        <w:tc>
          <w:tcPr>
            <w:tcW w:w="2415" w:type="dxa"/>
            <w:gridSpan w:val="3"/>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变频器组件</w:t>
            </w:r>
          </w:p>
        </w:tc>
        <w:tc>
          <w:tcPr>
            <w:tcW w:w="6390" w:type="dxa"/>
            <w:gridSpan w:val="3"/>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输入电压AC220V 0.37KW工业变频器，集成4路数字量输入，2路模拟量输入,支持RS485通讯，集成操作面板。配WDJ26三相电动机，输入电压AC380V</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42</w:t>
            </w:r>
          </w:p>
        </w:tc>
        <w:tc>
          <w:tcPr>
            <w:tcW w:w="2415" w:type="dxa"/>
            <w:gridSpan w:val="3"/>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伺服驱动组件</w:t>
            </w:r>
          </w:p>
        </w:tc>
        <w:tc>
          <w:tcPr>
            <w:tcW w:w="6390" w:type="dxa"/>
            <w:gridSpan w:val="3"/>
            <w:tcBorders>
              <w:top w:val="single" w:color="auto" w:sz="4" w:space="0"/>
              <w:left w:val="nil"/>
              <w:bottom w:val="single" w:color="auto" w:sz="4" w:space="0"/>
              <w:right w:val="single" w:color="auto" w:sz="4" w:space="0"/>
            </w:tcBorders>
            <w:noWrap w:val="0"/>
            <w:vAlign w:val="center"/>
          </w:tcPr>
          <w:p>
            <w:pPr>
              <w:spacing w:before="163" w:after="16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伺服驱动用于控制丝杆运动，选用交流伺服驱动，工作电压AC220V，输出功率200W。采用数字信号处理器（DSP）作为控制核心，智能功率模块（IPM）内部集成了驱动电路,同时具有过电压、过电流、过热、欠压等故障检测保护电路，具有较强的温度、湿度、振动等环境适应能力和很强的抗干扰的能力；支持位置、速度和力矩三种方式伺服马达进行控制。</w:t>
            </w:r>
          </w:p>
          <w:p>
            <w:pPr>
              <w:spacing w:before="163" w:after="16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（2）丝杆有效行程200mm，丝杆直径12mm。丝杆导程4mm。</w:t>
            </w:r>
          </w:p>
          <w:p>
            <w:pPr>
              <w:spacing w:before="163" w:after="16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（3）配置3个光电接近传感器。DC24V供电，NPN输出。（4）左右限位配置2个行程开关作为保护。</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43</w:t>
            </w:r>
          </w:p>
        </w:tc>
        <w:tc>
          <w:tcPr>
            <w:tcW w:w="2415" w:type="dxa"/>
            <w:gridSpan w:val="3"/>
            <w:tcBorders>
              <w:top w:val="single" w:color="auto" w:sz="4" w:space="0"/>
              <w:left w:val="nil"/>
              <w:bottom w:val="single" w:color="auto" w:sz="4" w:space="0"/>
              <w:right w:val="single" w:color="auto" w:sz="4" w:space="0"/>
            </w:tcBorders>
            <w:noWrap w:val="0"/>
            <w:vAlign w:val="center"/>
          </w:tcPr>
          <w:p>
            <w:pPr>
              <w:spacing w:before="163" w:after="163"/>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可编程控制器</w:t>
            </w:r>
            <w:r>
              <w:rPr>
                <w:rFonts w:hint="eastAsia" w:ascii="宋体" w:hAnsi="宋体" w:eastAsia="宋体" w:cs="宋体"/>
                <w:color w:val="auto"/>
                <w:szCs w:val="21"/>
                <w:highlight w:val="none"/>
                <w:lang w:eastAsia="zh-CN"/>
              </w:rPr>
              <w:t>控制终端</w:t>
            </w:r>
          </w:p>
        </w:tc>
        <w:tc>
          <w:tcPr>
            <w:tcW w:w="6390" w:type="dxa"/>
            <w:gridSpan w:val="3"/>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主机CPU I5以上，主频不低于3.2GHz，ROM内存不低于8G ,最好带独显，显卡内存不低于2G，操作系统WIN10 64位。</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25套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44</w:t>
            </w:r>
          </w:p>
        </w:tc>
        <w:tc>
          <w:tcPr>
            <w:tcW w:w="2415" w:type="dxa"/>
            <w:gridSpan w:val="3"/>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可调直流稳压电源</w:t>
            </w:r>
          </w:p>
        </w:tc>
        <w:tc>
          <w:tcPr>
            <w:tcW w:w="6390" w:type="dxa"/>
            <w:gridSpan w:val="3"/>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0~60DCV,0~10A</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45</w:t>
            </w:r>
          </w:p>
        </w:tc>
        <w:tc>
          <w:tcPr>
            <w:tcW w:w="2415" w:type="dxa"/>
            <w:gridSpan w:val="3"/>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PLC仿真实训竞赛系统</w:t>
            </w:r>
          </w:p>
        </w:tc>
        <w:tc>
          <w:tcPr>
            <w:tcW w:w="6390" w:type="dxa"/>
            <w:gridSpan w:val="3"/>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控制系统：</w:t>
            </w:r>
          </w:p>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1、1套可编程控制器；.工程组态软件（含授权）</w:t>
            </w:r>
          </w:p>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2、1套 Profibus主站模块</w:t>
            </w:r>
          </w:p>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3、1套 Profibus从站模块；主体设备：1台嵌入式工业计算机；1台液晶显示器，1个鼠标，1个键盘；1个通讯转换模块，支持RS485现场总线通讯；1台标准控制屏（台式），H600*W600*D300，含成套集成电气元器件。</w:t>
            </w:r>
          </w:p>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虚拟仿真软件：</w:t>
            </w:r>
          </w:p>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1、1套虚拟仿真软件；2、高精度的多电梯逻辑控制数学模型，能够任意配置呼叫乘客，以及配置可以考察控制效果的评分规则；3、完整的多电梯运行工况模拟；</w:t>
            </w:r>
          </w:p>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4、与控制器构成硬件在回路仿真。</w:t>
            </w:r>
          </w:p>
          <w:p>
            <w:pPr>
              <w:spacing w:before="163" w:after="163"/>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5、支持Profibus-DP、工业以太网以及OPC通信方式。</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eastAsia" w:ascii="宋体" w:hAnsi="宋体" w:eastAsia="宋体" w:cs="宋体"/>
                <w:color w:val="auto"/>
                <w:highlight w:val="none"/>
              </w:rPr>
            </w:pPr>
            <w:r>
              <w:rPr>
                <w:rFonts w:hint="eastAsia" w:ascii="宋体" w:hAnsi="宋体" w:eastAsia="宋体" w:cs="宋体"/>
                <w:color w:val="auto"/>
                <w:highlight w:val="none"/>
              </w:rPr>
              <w:t>46</w:t>
            </w:r>
          </w:p>
        </w:tc>
        <w:tc>
          <w:tcPr>
            <w:tcW w:w="2415" w:type="dxa"/>
            <w:gridSpan w:val="3"/>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控制小车</w:t>
            </w:r>
          </w:p>
        </w:tc>
        <w:tc>
          <w:tcPr>
            <w:tcW w:w="6390" w:type="dxa"/>
            <w:gridSpan w:val="3"/>
            <w:tcBorders>
              <w:top w:val="single" w:color="auto" w:sz="4" w:space="0"/>
              <w:left w:val="nil"/>
              <w:bottom w:val="single" w:color="auto" w:sz="4" w:space="0"/>
              <w:right w:val="single" w:color="auto" w:sz="4" w:space="0"/>
            </w:tcBorders>
            <w:noWrap w:val="0"/>
            <w:vAlign w:val="center"/>
          </w:tcPr>
          <w:p>
            <w:pPr>
              <w:spacing w:before="163" w:after="163"/>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供电：DC12V；</w:t>
            </w:r>
          </w:p>
          <w:p>
            <w:pPr>
              <w:spacing w:before="163" w:after="163"/>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带编码器信号电机控制接口：4个；舵机控制接口：6个；</w:t>
            </w:r>
          </w:p>
          <w:p>
            <w:pPr>
              <w:spacing w:before="163" w:after="163"/>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光电传感器接口：1个；</w:t>
            </w:r>
          </w:p>
          <w:p>
            <w:pPr>
              <w:spacing w:before="163" w:after="163"/>
              <w:ind w:left="420" w:left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激光扫描/二维码扫码接口：1个；与口袋机通信接口IDC34 x 2；尺寸：134mm x 92mm。</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1个</w:t>
            </w:r>
          </w:p>
        </w:tc>
        <w:tc>
          <w:tcPr>
            <w:tcW w:w="698" w:type="dxa"/>
            <w:tcBorders>
              <w:top w:val="single" w:color="auto" w:sz="4" w:space="0"/>
              <w:left w:val="nil"/>
              <w:bottom w:val="single" w:color="auto" w:sz="4" w:space="0"/>
              <w:right w:val="single" w:color="auto" w:sz="4" w:space="0"/>
            </w:tcBorders>
            <w:noWrap w:val="0"/>
            <w:vAlign w:val="center"/>
          </w:tcPr>
          <w:p>
            <w:pPr>
              <w:widowControl/>
              <w:spacing w:before="12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工业</w:t>
            </w:r>
          </w:p>
        </w:tc>
      </w:tr>
    </w:tbl>
    <w:p>
      <w:pPr>
        <w:spacing w:line="360" w:lineRule="auto"/>
        <w:ind w:firstLine="437"/>
        <w:rPr>
          <w:rFonts w:hint="eastAsia" w:ascii="宋体" w:hAnsi="宋体" w:eastAsia="宋体" w:cs="宋体"/>
          <w:b/>
          <w:bCs/>
          <w:sz w:val="24"/>
          <w:szCs w:val="18"/>
        </w:rPr>
      </w:pPr>
    </w:p>
    <w:p>
      <w:pPr>
        <w:spacing w:line="360" w:lineRule="auto"/>
        <w:ind w:firstLine="437"/>
        <w:rPr>
          <w:rFonts w:ascii="宋体" w:hAnsi="宋体" w:eastAsia="宋体"/>
          <w:b/>
          <w:bCs/>
          <w:sz w:val="24"/>
          <w:szCs w:val="18"/>
        </w:rPr>
      </w:pPr>
      <w:r>
        <w:rPr>
          <w:rFonts w:hint="eastAsia" w:ascii="宋体" w:hAnsi="宋体" w:eastAsia="宋体"/>
          <w:b/>
          <w:bCs/>
          <w:sz w:val="24"/>
          <w:szCs w:val="18"/>
        </w:rPr>
        <w:t>三、报价要求</w:t>
      </w:r>
    </w:p>
    <w:p>
      <w:pPr>
        <w:spacing w:line="360" w:lineRule="auto"/>
        <w:ind w:firstLine="437"/>
        <w:rPr>
          <w:rFonts w:ascii="宋体" w:hAnsi="宋体" w:eastAsia="宋体"/>
          <w:bCs/>
          <w:sz w:val="24"/>
          <w:szCs w:val="18"/>
        </w:rPr>
      </w:pPr>
      <w:r>
        <w:rPr>
          <w:rFonts w:hint="eastAsia" w:ascii="宋体" w:hAnsi="宋体" w:eastAsia="宋体"/>
          <w:bCs/>
          <w:sz w:val="24"/>
          <w:szCs w:val="18"/>
        </w:rPr>
        <w:t>投标报价包含完成本项目所产生的一切费用，履行期间采购人不再追加任何费用，投标人应综合考虑报价风险。</w:t>
      </w:r>
    </w:p>
    <w:p>
      <w:pPr>
        <w:rPr>
          <w:rFonts w:hint="eastAsia" w:ascii="宋体" w:hAnsi="宋体" w:eastAsia="宋体"/>
          <w:sz w:val="24"/>
        </w:rPr>
      </w:pPr>
      <w:r>
        <w:rPr>
          <w:rFonts w:hint="eastAsia" w:ascii="宋体" w:hAnsi="宋体" w:eastAsia="宋体"/>
          <w:sz w:val="24"/>
        </w:rPr>
        <w:br w:type="page"/>
      </w:r>
    </w:p>
    <w:p>
      <w:pPr>
        <w:spacing w:line="360" w:lineRule="auto"/>
        <w:jc w:val="center"/>
        <w:outlineLvl w:val="1"/>
        <w:rPr>
          <w:rFonts w:hint="eastAsia" w:ascii="宋体" w:hAnsi="宋体" w:eastAsia="宋体"/>
          <w:b/>
          <w:sz w:val="28"/>
          <w:lang w:eastAsia="zh-CN"/>
        </w:rPr>
      </w:pPr>
      <w:r>
        <w:rPr>
          <w:rFonts w:hint="eastAsia" w:ascii="宋体" w:hAnsi="宋体" w:eastAsia="宋体"/>
          <w:b/>
          <w:sz w:val="28"/>
          <w:lang w:eastAsia="zh-CN"/>
        </w:rPr>
        <w:t>评分办法</w:t>
      </w:r>
    </w:p>
    <w:p>
      <w:pPr>
        <w:spacing w:line="360" w:lineRule="auto"/>
        <w:ind w:firstLine="435"/>
        <w:rPr>
          <w:rFonts w:ascii="宋体" w:hAnsi="宋体" w:eastAsia="宋体"/>
          <w:sz w:val="24"/>
        </w:rPr>
      </w:pPr>
      <w:r>
        <w:rPr>
          <w:rFonts w:hint="eastAsia" w:ascii="宋体" w:hAnsi="宋体" w:eastAsia="宋体"/>
          <w:sz w:val="24"/>
        </w:rPr>
        <w:t>本项目综合评分满分为1</w:t>
      </w:r>
      <w:r>
        <w:rPr>
          <w:rFonts w:ascii="宋体" w:hAnsi="宋体" w:eastAsia="宋体"/>
          <w:sz w:val="24"/>
        </w:rPr>
        <w:t>00</w:t>
      </w:r>
      <w:r>
        <w:rPr>
          <w:rFonts w:hint="eastAsia" w:ascii="宋体" w:hAnsi="宋体" w:eastAsia="宋体"/>
          <w:sz w:val="24"/>
        </w:rPr>
        <w:t>分，其中：技术资信分值占总分值的权重为</w:t>
      </w:r>
      <w:r>
        <w:rPr>
          <w:rFonts w:hint="eastAsia" w:ascii="宋体" w:hAnsi="宋体" w:eastAsia="宋体"/>
          <w:sz w:val="24"/>
          <w:u w:val="single"/>
        </w:rPr>
        <w:t>70</w:t>
      </w:r>
      <w:r>
        <w:rPr>
          <w:rFonts w:ascii="宋体" w:hAnsi="宋体" w:eastAsia="宋体"/>
          <w:sz w:val="24"/>
        </w:rPr>
        <w:t>%，价格分值占总分值的权重为</w:t>
      </w:r>
      <w:r>
        <w:rPr>
          <w:rFonts w:hint="eastAsia" w:ascii="宋体" w:hAnsi="宋体" w:eastAsia="宋体"/>
          <w:sz w:val="24"/>
          <w:u w:val="single"/>
        </w:rPr>
        <w:t>30</w:t>
      </w:r>
      <w:r>
        <w:rPr>
          <w:rFonts w:ascii="宋体" w:hAnsi="宋体" w:eastAsia="宋体"/>
          <w:sz w:val="24"/>
        </w:rPr>
        <w:t>%。具体评分细则如下：</w:t>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1720"/>
        <w:gridCol w:w="4033"/>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14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 w:val="24"/>
              </w:rPr>
            </w:pPr>
            <w:r>
              <w:rPr>
                <w:rFonts w:hint="eastAsia" w:ascii="宋体" w:hAnsi="宋体" w:eastAsia="宋体"/>
                <w:b/>
                <w:bCs/>
                <w:sz w:val="24"/>
              </w:rPr>
              <w:t>类别</w:t>
            </w: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 w:val="24"/>
              </w:rPr>
            </w:pPr>
            <w:r>
              <w:rPr>
                <w:rFonts w:hint="eastAsia" w:ascii="宋体" w:hAnsi="宋体" w:eastAsia="宋体"/>
                <w:b/>
                <w:bCs/>
                <w:sz w:val="24"/>
              </w:rPr>
              <w:t>评分内容</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 w:val="24"/>
              </w:rPr>
            </w:pPr>
            <w:r>
              <w:rPr>
                <w:rFonts w:hint="eastAsia" w:ascii="宋体" w:hAnsi="宋体" w:eastAsia="宋体"/>
                <w:b/>
                <w:bCs/>
                <w:sz w:val="24"/>
              </w:rPr>
              <w:t>评分标准</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 w:val="24"/>
              </w:rPr>
            </w:pPr>
            <w:r>
              <w:rPr>
                <w:rFonts w:hint="eastAsia" w:ascii="宋体" w:hAnsi="宋体" w:eastAsia="宋体"/>
                <w:b/>
                <w:bCs/>
                <w:sz w:val="24"/>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技术资信分</w:t>
            </w:r>
          </w:p>
          <w:p>
            <w:pPr>
              <w:spacing w:line="360" w:lineRule="auto"/>
              <w:jc w:val="center"/>
              <w:rPr>
                <w:rFonts w:ascii="宋体" w:hAnsi="宋体" w:eastAsia="宋体"/>
                <w:b/>
                <w:bCs/>
                <w:szCs w:val="21"/>
              </w:rPr>
            </w:pPr>
            <w:r>
              <w:rPr>
                <w:rFonts w:hint="eastAsia" w:ascii="宋体" w:hAnsi="宋体" w:eastAsia="宋体"/>
                <w:szCs w:val="21"/>
              </w:rPr>
              <w:t>（</w:t>
            </w:r>
            <w:r>
              <w:rPr>
                <w:rFonts w:hint="eastAsia" w:ascii="宋体" w:hAnsi="宋体" w:eastAsia="宋体"/>
                <w:szCs w:val="21"/>
                <w:u w:val="single"/>
              </w:rPr>
              <w:t>70</w:t>
            </w:r>
            <w:r>
              <w:rPr>
                <w:rFonts w:hint="eastAsia" w:ascii="宋体" w:hAnsi="宋体" w:eastAsia="宋体"/>
                <w:szCs w:val="21"/>
              </w:rPr>
              <w:t>分）</w:t>
            </w: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Cs/>
                <w:szCs w:val="21"/>
              </w:rPr>
            </w:pPr>
            <w:r>
              <w:rPr>
                <w:rFonts w:hint="eastAsia" w:ascii="宋体" w:hAnsi="宋体" w:eastAsia="宋体"/>
                <w:szCs w:val="21"/>
              </w:rPr>
              <w:t>技术参数及要求</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left"/>
              <w:rPr>
                <w:rFonts w:ascii="宋体" w:hAnsi="宋体" w:eastAsia="宋体"/>
                <w:bCs/>
                <w:szCs w:val="21"/>
              </w:rPr>
            </w:pPr>
            <w:r>
              <w:rPr>
                <w:rFonts w:hint="eastAsia" w:ascii="宋体" w:hAnsi="宋体" w:eastAsia="宋体"/>
                <w:bCs/>
                <w:szCs w:val="21"/>
              </w:rPr>
              <w:t>根据所投产品对招标文件的技术参数及要求响应情况进行打分：</w:t>
            </w:r>
          </w:p>
          <w:p>
            <w:pPr>
              <w:spacing w:line="312" w:lineRule="auto"/>
              <w:jc w:val="left"/>
              <w:rPr>
                <w:rFonts w:ascii="宋体" w:hAnsi="宋体" w:eastAsia="宋体"/>
                <w:bCs/>
                <w:szCs w:val="21"/>
              </w:rPr>
            </w:pPr>
            <w:r>
              <w:rPr>
                <w:rFonts w:hint="eastAsia" w:ascii="宋体" w:hAnsi="宋体" w:eastAsia="宋体"/>
                <w:bCs/>
                <w:szCs w:val="21"/>
              </w:rPr>
              <w:t>完全满足或优于招标文件要求的，得满分 35 分；</w:t>
            </w:r>
          </w:p>
          <w:p>
            <w:pPr>
              <w:spacing w:line="312" w:lineRule="auto"/>
              <w:jc w:val="left"/>
              <w:rPr>
                <w:rFonts w:ascii="宋体" w:hAnsi="宋体" w:eastAsia="宋体"/>
                <w:bCs/>
                <w:szCs w:val="21"/>
              </w:rPr>
            </w:pPr>
            <w:r>
              <w:rPr>
                <w:rFonts w:hint="eastAsia" w:ascii="宋体" w:hAnsi="宋体" w:eastAsia="宋体"/>
                <w:bCs/>
                <w:szCs w:val="21"/>
              </w:rPr>
              <w:t>采购需求中每一项加“★”标志的重要响应指标不满足或负偏离扣3分，有五项及以上不满足，则“</w:t>
            </w:r>
            <w:r>
              <w:rPr>
                <w:rFonts w:hint="eastAsia" w:ascii="宋体" w:hAnsi="宋体" w:eastAsia="宋体"/>
                <w:szCs w:val="21"/>
              </w:rPr>
              <w:t>技术参数及要求</w:t>
            </w:r>
            <w:r>
              <w:rPr>
                <w:rFonts w:hint="eastAsia" w:ascii="宋体" w:hAnsi="宋体" w:eastAsia="宋体"/>
                <w:bCs/>
                <w:szCs w:val="21"/>
              </w:rPr>
              <w:t>”得0分；</w:t>
            </w:r>
          </w:p>
          <w:p>
            <w:pPr>
              <w:spacing w:line="312" w:lineRule="auto"/>
              <w:jc w:val="left"/>
              <w:rPr>
                <w:rFonts w:ascii="宋体" w:hAnsi="宋体" w:eastAsia="宋体"/>
                <w:bCs/>
                <w:szCs w:val="21"/>
              </w:rPr>
            </w:pPr>
            <w:r>
              <w:rPr>
                <w:rFonts w:hint="eastAsia" w:ascii="宋体" w:hAnsi="宋体" w:eastAsia="宋体"/>
                <w:bCs/>
                <w:szCs w:val="21"/>
              </w:rPr>
              <w:t xml:space="preserve">采购需求中每一项非“★”标志的响应指标不满足或负偏离扣1分，扣完为止。 </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Cs w:val="21"/>
              </w:rPr>
            </w:pPr>
            <w:r>
              <w:rPr>
                <w:rFonts w:hint="eastAsia" w:ascii="宋体" w:hAnsi="宋体" w:eastAsia="宋体"/>
                <w:szCs w:val="21"/>
              </w:rPr>
              <w:t>0-</w:t>
            </w:r>
            <w:r>
              <w:rPr>
                <w:rFonts w:hint="eastAsia" w:ascii="宋体" w:hAnsi="宋体" w:eastAsia="宋体" w:cs="宋体"/>
                <w:szCs w:val="21"/>
                <w:u w:val="single"/>
              </w:rPr>
              <w:t>35</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noWrap w:val="0"/>
            <w:vAlign w:val="center"/>
          </w:tcPr>
          <w:p>
            <w:pPr>
              <w:spacing w:line="360" w:lineRule="auto"/>
              <w:ind w:firstLine="435"/>
              <w:jc w:val="center"/>
              <w:rPr>
                <w:rFonts w:ascii="宋体" w:hAnsi="宋体" w:eastAsia="宋体"/>
                <w:b/>
                <w:bCs/>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供货安装（调试）方案</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left"/>
              <w:rPr>
                <w:rFonts w:ascii="宋体" w:hAnsi="宋体" w:eastAsia="宋体"/>
                <w:szCs w:val="21"/>
              </w:rPr>
            </w:pPr>
            <w:r>
              <w:rPr>
                <w:rFonts w:hint="eastAsia" w:ascii="宋体" w:hAnsi="宋体" w:eastAsia="宋体"/>
                <w:szCs w:val="21"/>
              </w:rPr>
              <w:t>根据投标人提供的针对本项目的供货（调试）方案，由评委进行综合评审。方案包括但不限于项目供货计划、供货安装措施</w:t>
            </w:r>
            <w:r>
              <w:rPr>
                <w:rFonts w:hint="eastAsia" w:ascii="宋体" w:hAnsi="宋体" w:eastAsia="宋体" w:cs="宋体"/>
              </w:rPr>
              <w:t>及系统技术方案</w:t>
            </w:r>
            <w:r>
              <w:rPr>
                <w:rFonts w:hint="eastAsia" w:ascii="宋体" w:hAnsi="宋体" w:eastAsia="宋体"/>
                <w:szCs w:val="21"/>
              </w:rPr>
              <w:t>等情况。</w:t>
            </w:r>
          </w:p>
          <w:p>
            <w:pPr>
              <w:spacing w:line="312" w:lineRule="auto"/>
              <w:jc w:val="left"/>
              <w:rPr>
                <w:rFonts w:ascii="宋体" w:hAnsi="宋体" w:eastAsia="宋体"/>
                <w:szCs w:val="21"/>
              </w:rPr>
            </w:pPr>
            <w:r>
              <w:rPr>
                <w:rFonts w:hint="eastAsia" w:ascii="宋体" w:hAnsi="宋体" w:eastAsia="宋体"/>
                <w:szCs w:val="21"/>
              </w:rPr>
              <w:t>1、供货计划科学合理，供货安装措施切实可行，</w:t>
            </w:r>
            <w:r>
              <w:rPr>
                <w:rFonts w:hint="eastAsia" w:ascii="宋体" w:hAnsi="宋体" w:eastAsia="宋体" w:cs="宋体"/>
              </w:rPr>
              <w:t>方案描述全面完整</w:t>
            </w:r>
            <w:r>
              <w:rPr>
                <w:rFonts w:hint="eastAsia" w:ascii="宋体" w:hAnsi="宋体" w:eastAsia="宋体"/>
                <w:szCs w:val="21"/>
              </w:rPr>
              <w:t>的，得8分；</w:t>
            </w:r>
          </w:p>
          <w:p>
            <w:pPr>
              <w:spacing w:line="312" w:lineRule="auto"/>
              <w:jc w:val="left"/>
              <w:rPr>
                <w:rFonts w:ascii="宋体" w:hAnsi="宋体" w:eastAsia="宋体"/>
                <w:szCs w:val="21"/>
              </w:rPr>
            </w:pPr>
            <w:r>
              <w:rPr>
                <w:rFonts w:hint="eastAsia" w:ascii="宋体" w:hAnsi="宋体" w:eastAsia="宋体"/>
                <w:szCs w:val="21"/>
              </w:rPr>
              <w:t>2、供货计划基本满足项目需求，具体安装调试措施基本能够满足项目需求，</w:t>
            </w:r>
            <w:r>
              <w:rPr>
                <w:rFonts w:hint="eastAsia" w:ascii="宋体" w:hAnsi="宋体" w:eastAsia="宋体" w:cs="宋体"/>
              </w:rPr>
              <w:t>方案较完整</w:t>
            </w:r>
            <w:r>
              <w:rPr>
                <w:rFonts w:hint="eastAsia" w:ascii="宋体" w:hAnsi="宋体" w:eastAsia="宋体"/>
                <w:szCs w:val="21"/>
              </w:rPr>
              <w:t>的，得5分；</w:t>
            </w:r>
          </w:p>
          <w:p>
            <w:pPr>
              <w:spacing w:line="312" w:lineRule="auto"/>
              <w:jc w:val="left"/>
              <w:rPr>
                <w:rFonts w:ascii="宋体" w:hAnsi="宋体" w:eastAsia="宋体"/>
                <w:szCs w:val="21"/>
              </w:rPr>
            </w:pPr>
            <w:r>
              <w:rPr>
                <w:rFonts w:hint="eastAsia" w:ascii="宋体" w:hAnsi="宋体" w:eastAsia="宋体"/>
                <w:szCs w:val="21"/>
              </w:rPr>
              <w:t>3、供货计划、安装调试措施、技术方案有待进一步完善的，得2分；</w:t>
            </w:r>
          </w:p>
          <w:p>
            <w:pPr>
              <w:spacing w:line="312" w:lineRule="auto"/>
              <w:jc w:val="left"/>
              <w:rPr>
                <w:rFonts w:ascii="宋体" w:hAnsi="宋体" w:eastAsia="宋体"/>
                <w:szCs w:val="21"/>
              </w:rPr>
            </w:pPr>
            <w:r>
              <w:rPr>
                <w:rFonts w:hint="eastAsia" w:ascii="宋体" w:hAnsi="宋体" w:eastAsia="宋体"/>
                <w:szCs w:val="21"/>
              </w:rPr>
              <w:t>4、差或未提供不得分。</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Cs w:val="21"/>
              </w:rPr>
            </w:pPr>
            <w:r>
              <w:rPr>
                <w:rFonts w:hint="eastAsia" w:ascii="宋体" w:hAnsi="宋体" w:eastAsia="宋体"/>
                <w:szCs w:val="21"/>
              </w:rPr>
              <w:t>0-</w:t>
            </w:r>
            <w:r>
              <w:rPr>
                <w:rFonts w:hint="eastAsia" w:ascii="宋体" w:hAnsi="宋体" w:eastAsia="宋体" w:cs="宋体"/>
                <w:szCs w:val="21"/>
                <w:u w:val="single"/>
              </w:rPr>
              <w:t>8</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noWrap w:val="0"/>
            <w:vAlign w:val="center"/>
          </w:tcPr>
          <w:p>
            <w:pPr>
              <w:spacing w:line="360" w:lineRule="auto"/>
              <w:ind w:firstLine="435"/>
              <w:jc w:val="center"/>
              <w:rPr>
                <w:rFonts w:ascii="宋体" w:hAnsi="宋体" w:eastAsia="宋体"/>
                <w:b/>
                <w:bCs/>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售后服务与维保方案</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left"/>
              <w:rPr>
                <w:rFonts w:ascii="宋体" w:hAnsi="宋体" w:eastAsia="宋体"/>
                <w:szCs w:val="21"/>
              </w:rPr>
            </w:pPr>
            <w:r>
              <w:rPr>
                <w:rFonts w:hint="eastAsia" w:ascii="宋体" w:hAnsi="宋体" w:eastAsia="宋体"/>
                <w:szCs w:val="21"/>
              </w:rPr>
              <w:t>根据投标人提供的售后服务方案，由评</w:t>
            </w:r>
          </w:p>
          <w:p>
            <w:pPr>
              <w:spacing w:line="312" w:lineRule="auto"/>
              <w:jc w:val="left"/>
              <w:rPr>
                <w:rFonts w:ascii="宋体" w:hAnsi="宋体" w:eastAsia="宋体"/>
                <w:szCs w:val="21"/>
              </w:rPr>
            </w:pPr>
            <w:r>
              <w:rPr>
                <w:rFonts w:hint="eastAsia" w:ascii="宋体" w:hAnsi="宋体" w:eastAsia="宋体"/>
                <w:szCs w:val="21"/>
              </w:rPr>
              <w:t>委进行综合评审：</w:t>
            </w:r>
          </w:p>
          <w:p>
            <w:pPr>
              <w:spacing w:line="312" w:lineRule="auto"/>
              <w:jc w:val="left"/>
              <w:rPr>
                <w:rFonts w:ascii="宋体" w:hAnsi="宋体" w:eastAsia="宋体"/>
                <w:szCs w:val="21"/>
              </w:rPr>
            </w:pPr>
            <w:r>
              <w:rPr>
                <w:rFonts w:hint="eastAsia" w:ascii="宋体" w:hAnsi="宋体" w:eastAsia="宋体"/>
                <w:szCs w:val="21"/>
              </w:rPr>
              <w:t>1、人员数量满足项目需求，安排合理，</w:t>
            </w:r>
          </w:p>
          <w:p>
            <w:pPr>
              <w:spacing w:line="312" w:lineRule="auto"/>
              <w:jc w:val="left"/>
              <w:rPr>
                <w:rFonts w:ascii="宋体" w:hAnsi="宋体" w:eastAsia="宋体"/>
                <w:szCs w:val="21"/>
              </w:rPr>
            </w:pPr>
            <w:r>
              <w:rPr>
                <w:rFonts w:hint="eastAsia" w:ascii="宋体" w:hAnsi="宋体" w:eastAsia="宋体"/>
                <w:szCs w:val="21"/>
              </w:rPr>
              <w:t>针对设备、备品备件维护等内容提供培</w:t>
            </w:r>
          </w:p>
          <w:p>
            <w:pPr>
              <w:spacing w:line="312" w:lineRule="auto"/>
              <w:jc w:val="left"/>
              <w:rPr>
                <w:rFonts w:ascii="宋体" w:hAnsi="宋体" w:eastAsia="宋体"/>
                <w:szCs w:val="21"/>
              </w:rPr>
            </w:pPr>
            <w:r>
              <w:rPr>
                <w:rFonts w:hint="eastAsia" w:ascii="宋体" w:hAnsi="宋体" w:eastAsia="宋体"/>
                <w:szCs w:val="21"/>
              </w:rPr>
              <w:t>训计划，培训方式规范，培训内容完整</w:t>
            </w:r>
          </w:p>
          <w:p>
            <w:pPr>
              <w:spacing w:line="312" w:lineRule="auto"/>
              <w:jc w:val="left"/>
              <w:rPr>
                <w:rFonts w:ascii="宋体" w:hAnsi="宋体" w:eastAsia="宋体"/>
                <w:szCs w:val="21"/>
              </w:rPr>
            </w:pPr>
            <w:r>
              <w:rPr>
                <w:rFonts w:hint="eastAsia" w:ascii="宋体" w:hAnsi="宋体" w:eastAsia="宋体"/>
                <w:szCs w:val="21"/>
              </w:rPr>
              <w:t>详尽的，得6分；</w:t>
            </w:r>
          </w:p>
          <w:p>
            <w:pPr>
              <w:spacing w:line="312" w:lineRule="auto"/>
              <w:jc w:val="left"/>
              <w:rPr>
                <w:rFonts w:ascii="宋体" w:hAnsi="宋体" w:eastAsia="宋体"/>
                <w:szCs w:val="21"/>
              </w:rPr>
            </w:pPr>
            <w:r>
              <w:rPr>
                <w:rFonts w:hint="eastAsia" w:ascii="宋体" w:hAnsi="宋体" w:eastAsia="宋体"/>
                <w:szCs w:val="21"/>
              </w:rPr>
              <w:t>2、人员数量基本满足项目需求，培训</w:t>
            </w:r>
          </w:p>
          <w:p>
            <w:pPr>
              <w:spacing w:line="312" w:lineRule="auto"/>
              <w:jc w:val="left"/>
              <w:rPr>
                <w:rFonts w:ascii="宋体" w:hAnsi="宋体" w:eastAsia="宋体"/>
                <w:szCs w:val="21"/>
              </w:rPr>
            </w:pPr>
            <w:r>
              <w:rPr>
                <w:rFonts w:hint="eastAsia" w:ascii="宋体" w:hAnsi="宋体" w:eastAsia="宋体"/>
                <w:szCs w:val="21"/>
              </w:rPr>
              <w:t>计划及相关措施较为科学得当，具有一</w:t>
            </w:r>
          </w:p>
          <w:p>
            <w:pPr>
              <w:spacing w:line="312" w:lineRule="auto"/>
              <w:jc w:val="left"/>
              <w:rPr>
                <w:rFonts w:ascii="宋体" w:hAnsi="宋体" w:eastAsia="宋体"/>
                <w:szCs w:val="21"/>
              </w:rPr>
            </w:pPr>
            <w:r>
              <w:rPr>
                <w:rFonts w:hint="eastAsia" w:ascii="宋体" w:hAnsi="宋体" w:eastAsia="宋体"/>
                <w:szCs w:val="21"/>
              </w:rPr>
              <w:t>定可行性的，得4分；</w:t>
            </w:r>
          </w:p>
          <w:p>
            <w:pPr>
              <w:spacing w:line="312" w:lineRule="auto"/>
              <w:jc w:val="left"/>
              <w:rPr>
                <w:rFonts w:ascii="宋体" w:hAnsi="宋体" w:eastAsia="宋体"/>
                <w:szCs w:val="21"/>
              </w:rPr>
            </w:pPr>
            <w:r>
              <w:rPr>
                <w:rFonts w:hint="eastAsia" w:ascii="宋体" w:hAnsi="宋体" w:eastAsia="宋体"/>
                <w:szCs w:val="21"/>
              </w:rPr>
              <w:t>3、人员服务及培训计划有待进一步完</w:t>
            </w:r>
          </w:p>
          <w:p>
            <w:pPr>
              <w:spacing w:line="312" w:lineRule="auto"/>
              <w:jc w:val="left"/>
              <w:rPr>
                <w:rFonts w:ascii="宋体" w:hAnsi="宋体" w:eastAsia="宋体"/>
                <w:szCs w:val="21"/>
              </w:rPr>
            </w:pPr>
            <w:r>
              <w:rPr>
                <w:rFonts w:hint="eastAsia" w:ascii="宋体" w:hAnsi="宋体" w:eastAsia="宋体"/>
                <w:szCs w:val="21"/>
              </w:rPr>
              <w:t>善的，得2分；</w:t>
            </w:r>
          </w:p>
          <w:p>
            <w:pPr>
              <w:spacing w:line="312" w:lineRule="auto"/>
              <w:jc w:val="left"/>
              <w:rPr>
                <w:rFonts w:ascii="宋体" w:hAnsi="宋体" w:eastAsia="宋体"/>
                <w:szCs w:val="21"/>
              </w:rPr>
            </w:pPr>
            <w:r>
              <w:rPr>
                <w:rFonts w:hint="eastAsia" w:ascii="宋体" w:hAnsi="宋体" w:eastAsia="宋体"/>
                <w:szCs w:val="21"/>
              </w:rPr>
              <w:t>4、差或未提供任何内容不得分。</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Cs w:val="21"/>
              </w:rPr>
            </w:pPr>
            <w:r>
              <w:rPr>
                <w:rFonts w:hint="eastAsia" w:ascii="宋体" w:hAnsi="宋体" w:eastAsia="宋体"/>
                <w:szCs w:val="21"/>
              </w:rPr>
              <w:t>0-</w:t>
            </w:r>
            <w:r>
              <w:rPr>
                <w:rFonts w:hint="eastAsia" w:ascii="宋体" w:hAnsi="宋体" w:eastAsia="宋体" w:cs="宋体"/>
                <w:szCs w:val="21"/>
                <w:u w:val="single"/>
              </w:rPr>
              <w:t>6</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noWrap w:val="0"/>
            <w:vAlign w:val="center"/>
          </w:tcPr>
          <w:p>
            <w:pPr>
              <w:spacing w:line="360" w:lineRule="auto"/>
              <w:ind w:firstLine="435"/>
              <w:jc w:val="center"/>
              <w:rPr>
                <w:rFonts w:ascii="宋体" w:hAnsi="宋体" w:eastAsia="宋体"/>
                <w:b/>
                <w:bCs/>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业绩</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left"/>
              <w:rPr>
                <w:rFonts w:ascii="宋体" w:hAnsi="宋体" w:eastAsia="宋体"/>
                <w:szCs w:val="21"/>
              </w:rPr>
            </w:pPr>
            <w:r>
              <w:rPr>
                <w:rFonts w:hint="eastAsia" w:ascii="宋体" w:hAnsi="宋体" w:eastAsia="宋体" w:cs="宋体"/>
                <w:szCs w:val="21"/>
              </w:rPr>
              <w:t>投标人</w:t>
            </w:r>
            <w:r>
              <w:rPr>
                <w:rFonts w:hint="eastAsia" w:ascii="宋体" w:hAnsi="宋体" w:eastAsia="宋体"/>
                <w:szCs w:val="21"/>
              </w:rPr>
              <w:t>近三年（201</w:t>
            </w:r>
            <w:r>
              <w:rPr>
                <w:rFonts w:ascii="宋体" w:hAnsi="宋体" w:eastAsia="宋体"/>
                <w:szCs w:val="21"/>
              </w:rPr>
              <w:t>8</w:t>
            </w:r>
            <w:r>
              <w:rPr>
                <w:rFonts w:hint="eastAsia" w:ascii="宋体" w:hAnsi="宋体" w:eastAsia="宋体"/>
                <w:szCs w:val="21"/>
              </w:rPr>
              <w:t>年07月至今）具有轨道交通供配电同类或类似项目业绩，有一个得3分，最多得12分。</w:t>
            </w:r>
          </w:p>
          <w:p>
            <w:pPr>
              <w:spacing w:line="312" w:lineRule="auto"/>
              <w:jc w:val="left"/>
              <w:rPr>
                <w:rFonts w:ascii="宋体" w:hAnsi="宋体" w:eastAsia="宋体"/>
                <w:szCs w:val="21"/>
              </w:rPr>
            </w:pPr>
            <w:r>
              <w:rPr>
                <w:rFonts w:hint="eastAsia" w:ascii="宋体" w:hAnsi="宋体" w:eastAsia="宋体"/>
                <w:b/>
                <w:bCs/>
                <w:szCs w:val="21"/>
              </w:rPr>
              <w:t>注：投标文件中须提供合同以及验收报告扫描件，如合同或验收报告无法体现项目内容、签订日期等内容，须另附业主证明材料，否则不得分。</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Cs w:val="21"/>
              </w:rPr>
            </w:pPr>
            <w:r>
              <w:rPr>
                <w:rFonts w:hint="eastAsia" w:ascii="宋体" w:hAnsi="宋体" w:eastAsia="宋体"/>
                <w:szCs w:val="21"/>
              </w:rPr>
              <w:t>0-</w:t>
            </w:r>
            <w:r>
              <w:rPr>
                <w:rFonts w:hint="eastAsia" w:ascii="宋体" w:hAnsi="宋体" w:eastAsia="宋体" w:cs="宋体"/>
                <w:szCs w:val="21"/>
                <w:u w:val="single"/>
              </w:rPr>
              <w:t>12</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noWrap w:val="0"/>
            <w:vAlign w:val="center"/>
          </w:tcPr>
          <w:p>
            <w:pPr>
              <w:spacing w:line="360" w:lineRule="auto"/>
              <w:ind w:firstLine="435"/>
              <w:jc w:val="center"/>
              <w:rPr>
                <w:rFonts w:ascii="宋体" w:hAnsi="宋体" w:eastAsia="宋体"/>
                <w:b/>
                <w:bCs/>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宋体"/>
                <w:szCs w:val="21"/>
              </w:rPr>
            </w:pPr>
            <w:r>
              <w:rPr>
                <w:rFonts w:hint="eastAsia" w:ascii="宋体" w:hAnsi="宋体" w:eastAsia="宋体" w:cs="宋体"/>
                <w:szCs w:val="21"/>
              </w:rPr>
              <w:t>综合实力</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12" w:lineRule="auto"/>
              <w:rPr>
                <w:rFonts w:ascii="宋体" w:hAnsi="宋体" w:eastAsia="宋体" w:cs="宋体"/>
                <w:b/>
                <w:bCs/>
                <w:szCs w:val="21"/>
              </w:rPr>
            </w:pPr>
            <w:r>
              <w:rPr>
                <w:rFonts w:hint="eastAsia" w:ascii="宋体" w:hAnsi="宋体" w:eastAsia="宋体" w:cs="宋体"/>
                <w:szCs w:val="21"/>
              </w:rPr>
              <w:t>1、投标人具有轨道交通类技术</w:t>
            </w:r>
            <w:r>
              <w:rPr>
                <w:rFonts w:ascii="宋体" w:hAnsi="宋体" w:eastAsia="宋体" w:cs="宋体"/>
                <w:szCs w:val="21"/>
              </w:rPr>
              <w:t>研发成果或</w:t>
            </w:r>
            <w:r>
              <w:rPr>
                <w:rFonts w:hint="eastAsia" w:ascii="宋体" w:hAnsi="宋体" w:eastAsia="宋体" w:cs="宋体"/>
                <w:szCs w:val="21"/>
              </w:rPr>
              <w:t>荣誉</w:t>
            </w:r>
            <w:r>
              <w:rPr>
                <w:rFonts w:ascii="宋体" w:hAnsi="宋体" w:eastAsia="宋体" w:cs="宋体"/>
                <w:szCs w:val="21"/>
              </w:rPr>
              <w:t>的（</w:t>
            </w:r>
            <w:r>
              <w:rPr>
                <w:rFonts w:hint="eastAsia" w:ascii="宋体" w:hAnsi="宋体" w:eastAsia="宋体" w:cs="宋体"/>
                <w:szCs w:val="21"/>
              </w:rPr>
              <w:t>如发明专利、成果</w:t>
            </w:r>
            <w:r>
              <w:rPr>
                <w:rFonts w:ascii="宋体" w:hAnsi="宋体" w:eastAsia="宋体" w:cs="宋体"/>
                <w:szCs w:val="21"/>
              </w:rPr>
              <w:t>证书、获奖证书</w:t>
            </w:r>
            <w:r>
              <w:rPr>
                <w:rFonts w:hint="eastAsia" w:ascii="宋体" w:hAnsi="宋体" w:eastAsia="宋体" w:cs="宋体"/>
                <w:szCs w:val="21"/>
              </w:rPr>
              <w:t>、</w:t>
            </w:r>
            <w:r>
              <w:rPr>
                <w:rFonts w:ascii="宋体" w:hAnsi="宋体" w:eastAsia="宋体" w:cs="宋体"/>
                <w:szCs w:val="21"/>
              </w:rPr>
              <w:t>荣誉证书</w:t>
            </w:r>
            <w:r>
              <w:rPr>
                <w:rFonts w:hint="eastAsia" w:ascii="宋体" w:hAnsi="宋体" w:eastAsia="宋体" w:cs="宋体"/>
                <w:szCs w:val="21"/>
              </w:rPr>
              <w:t>），每提供1个得1分，本小项最多得3分；</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0-</w:t>
            </w:r>
            <w:r>
              <w:rPr>
                <w:rFonts w:hint="eastAsia" w:ascii="宋体" w:hAnsi="宋体" w:eastAsia="宋体" w:cs="宋体"/>
                <w:szCs w:val="21"/>
                <w:u w:val="single"/>
              </w:rPr>
              <w:t>3</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noWrap w:val="0"/>
            <w:vAlign w:val="center"/>
          </w:tcPr>
          <w:p>
            <w:pPr>
              <w:spacing w:line="360" w:lineRule="auto"/>
              <w:ind w:firstLine="435"/>
              <w:jc w:val="center"/>
              <w:rPr>
                <w:rFonts w:ascii="宋体" w:hAnsi="宋体" w:eastAsia="宋体"/>
                <w:b/>
                <w:bCs/>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体系认证</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pStyle w:val="15"/>
              <w:spacing w:line="312" w:lineRule="auto"/>
              <w:rPr>
                <w:rFonts w:hAnsi="宋体" w:eastAsia="宋体" w:cs="宋体"/>
                <w:sz w:val="21"/>
                <w:szCs w:val="21"/>
              </w:rPr>
            </w:pPr>
            <w:r>
              <w:rPr>
                <w:rFonts w:hint="eastAsia" w:hAnsi="宋体" w:eastAsia="宋体" w:cs="宋体"/>
                <w:sz w:val="21"/>
                <w:szCs w:val="21"/>
              </w:rPr>
              <w:t>投标人具有有效的质量管理体系认证证书、环境管理体系认证证书、职业健康安全管理体系认证证书，每提供一个得2分。本项最多得6分。</w:t>
            </w:r>
          </w:p>
          <w:p>
            <w:pPr>
              <w:spacing w:line="312" w:lineRule="auto"/>
              <w:rPr>
                <w:rFonts w:ascii="宋体" w:hAnsi="宋体" w:eastAsia="宋体"/>
                <w:szCs w:val="21"/>
              </w:rPr>
            </w:pPr>
            <w:r>
              <w:rPr>
                <w:rFonts w:hint="eastAsia" w:hAnsi="宋体" w:eastAsia="宋体" w:cs="宋体"/>
                <w:b/>
                <w:bCs/>
                <w:szCs w:val="21"/>
              </w:rPr>
              <w:t>注：投标文件中须同时提供认证证书及全国认证认可公共信息服务平台官网证书查询截图的扫描件或影印件。</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Cs w:val="21"/>
              </w:rPr>
            </w:pPr>
            <w:r>
              <w:rPr>
                <w:rFonts w:hint="eastAsia" w:ascii="宋体" w:hAnsi="宋体" w:eastAsia="宋体"/>
                <w:szCs w:val="21"/>
              </w:rPr>
              <w:t>0-</w:t>
            </w:r>
            <w:r>
              <w:rPr>
                <w:rFonts w:hint="eastAsia" w:ascii="宋体" w:hAnsi="宋体" w:eastAsia="宋体" w:cs="宋体"/>
                <w:szCs w:val="21"/>
                <w:u w:val="single"/>
              </w:rPr>
              <w:t>6</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tcBorders>
              <w:left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价格分</w:t>
            </w:r>
          </w:p>
          <w:p>
            <w:pPr>
              <w:spacing w:line="360" w:lineRule="auto"/>
              <w:jc w:val="center"/>
              <w:rPr>
                <w:rFonts w:ascii="宋体" w:hAnsi="宋体" w:eastAsia="宋体"/>
                <w:b/>
                <w:bCs/>
                <w:szCs w:val="21"/>
              </w:rPr>
            </w:pPr>
            <w:r>
              <w:rPr>
                <w:rFonts w:hint="eastAsia" w:ascii="宋体" w:hAnsi="宋体" w:eastAsia="宋体"/>
                <w:szCs w:val="21"/>
              </w:rPr>
              <w:t>（</w:t>
            </w:r>
            <w:r>
              <w:rPr>
                <w:rFonts w:hint="eastAsia" w:ascii="宋体" w:hAnsi="宋体" w:eastAsia="宋体"/>
                <w:szCs w:val="21"/>
                <w:u w:val="single"/>
              </w:rPr>
              <w:t>30</w:t>
            </w:r>
            <w:r>
              <w:rPr>
                <w:rFonts w:hint="eastAsia" w:ascii="宋体" w:hAnsi="宋体" w:eastAsia="宋体"/>
                <w:szCs w:val="21"/>
              </w:rPr>
              <w:t>分）</w:t>
            </w:r>
          </w:p>
        </w:tc>
        <w:tc>
          <w:tcPr>
            <w:tcW w:w="704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eastAsia="宋体"/>
                <w:szCs w:val="21"/>
              </w:rPr>
            </w:pPr>
            <w:r>
              <w:rPr>
                <w:rFonts w:hint="eastAsia" w:ascii="宋体" w:hAnsi="宋体" w:eastAsia="宋体"/>
                <w:szCs w:val="21"/>
              </w:rPr>
              <w:t>价格分统一采用低价优先法，即满足招标文件要求且投标价格最低的投标报价为评标基准价，其价格分为满分</w:t>
            </w:r>
            <w:r>
              <w:rPr>
                <w:rFonts w:hint="eastAsia" w:ascii="宋体" w:hAnsi="宋体" w:eastAsia="宋体"/>
                <w:szCs w:val="21"/>
                <w:u w:val="single"/>
              </w:rPr>
              <w:t>30</w:t>
            </w:r>
            <w:r>
              <w:rPr>
                <w:rFonts w:hint="eastAsia" w:ascii="宋体" w:hAnsi="宋体" w:eastAsia="宋体"/>
                <w:szCs w:val="21"/>
              </w:rPr>
              <w:t>分。其他投标人的价格分统一按照下列公式计算：</w:t>
            </w:r>
          </w:p>
          <w:p>
            <w:pPr>
              <w:spacing w:line="360" w:lineRule="auto"/>
              <w:rPr>
                <w:rFonts w:ascii="宋体" w:hAnsi="宋体" w:eastAsia="宋体"/>
                <w:b/>
                <w:bCs/>
                <w:szCs w:val="21"/>
              </w:rPr>
            </w:pPr>
            <w:r>
              <w:rPr>
                <w:rFonts w:hint="eastAsia" w:ascii="宋体" w:hAnsi="宋体" w:eastAsia="宋体"/>
                <w:szCs w:val="21"/>
              </w:rPr>
              <w:t>投标报价得分＝（评标基准价/投标报价）×</w:t>
            </w:r>
            <w:r>
              <w:rPr>
                <w:rFonts w:hint="eastAsia" w:ascii="宋体" w:hAnsi="宋体" w:eastAsia="宋体"/>
                <w:szCs w:val="21"/>
                <w:u w:val="single"/>
              </w:rPr>
              <w:t>30</w:t>
            </w:r>
            <w:r>
              <w:rPr>
                <w:rFonts w:hint="eastAsia" w:ascii="宋体" w:hAnsi="宋体" w:eastAsia="宋体"/>
                <w:szCs w:val="21"/>
              </w:rPr>
              <w:t>％×100</w:t>
            </w:r>
          </w:p>
        </w:tc>
      </w:tr>
    </w:tbl>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.3.3</w:t>
      </w:r>
      <w:r>
        <w:rPr>
          <w:rFonts w:hint="eastAsia" w:ascii="宋体" w:hAnsi="宋体" w:eastAsia="宋体"/>
          <w:sz w:val="24"/>
        </w:rPr>
        <w:t>分值汇总</w:t>
      </w:r>
    </w:p>
    <w:p>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评标委员会各成员应当独立对每个</w:t>
      </w:r>
      <w:r>
        <w:rPr>
          <w:rFonts w:hint="eastAsia" w:ascii="宋体" w:hAnsi="宋体" w:eastAsia="宋体"/>
          <w:sz w:val="24"/>
        </w:rPr>
        <w:t>有效</w:t>
      </w:r>
      <w:r>
        <w:rPr>
          <w:rFonts w:ascii="宋体" w:hAnsi="宋体" w:eastAsia="宋体"/>
          <w:sz w:val="24"/>
        </w:rPr>
        <w:t>投标人的投标文件进行评</w:t>
      </w:r>
      <w:r>
        <w:rPr>
          <w:rFonts w:hint="eastAsia" w:ascii="宋体" w:hAnsi="宋体" w:eastAsia="宋体"/>
          <w:sz w:val="24"/>
        </w:rPr>
        <w:t>分</w:t>
      </w:r>
      <w:r>
        <w:rPr>
          <w:rFonts w:ascii="宋体" w:hAnsi="宋体" w:eastAsia="宋体"/>
          <w:sz w:val="24"/>
        </w:rPr>
        <w:t>，并汇总每个投</w:t>
      </w:r>
      <w:r>
        <w:rPr>
          <w:rFonts w:hint="eastAsia" w:ascii="宋体" w:hAnsi="宋体" w:eastAsia="宋体"/>
          <w:sz w:val="24"/>
        </w:rPr>
        <w:t>标人的得分。取各位评委评分之平均值，四舍五入保留至小数点后两位数，</w:t>
      </w:r>
      <w:r>
        <w:rPr>
          <w:rFonts w:ascii="宋体" w:hAnsi="宋体" w:eastAsia="宋体"/>
          <w:sz w:val="24"/>
        </w:rPr>
        <w:t>得到该投标</w:t>
      </w:r>
      <w:r>
        <w:rPr>
          <w:rFonts w:hint="eastAsia" w:ascii="宋体" w:hAnsi="宋体" w:eastAsia="宋体"/>
          <w:sz w:val="24"/>
        </w:rPr>
        <w:t>人</w:t>
      </w:r>
      <w:r>
        <w:rPr>
          <w:rFonts w:ascii="宋体" w:hAnsi="宋体" w:eastAsia="宋体"/>
          <w:sz w:val="24"/>
        </w:rPr>
        <w:t>的技术资信分</w:t>
      </w:r>
      <w:r>
        <w:rPr>
          <w:rFonts w:hint="eastAsia" w:ascii="宋体" w:hAnsi="宋体" w:eastAsia="宋体"/>
          <w:sz w:val="24"/>
        </w:rPr>
        <w:t>。</w:t>
      </w:r>
    </w:p>
    <w:p>
      <w:r>
        <w:rPr>
          <w:rFonts w:hint="eastAsia" w:ascii="宋体" w:hAnsi="宋体" w:eastAsia="宋体"/>
          <w:sz w:val="24"/>
        </w:rPr>
        <w:t>（2）</w:t>
      </w:r>
      <w:r>
        <w:rPr>
          <w:rFonts w:ascii="宋体" w:hAnsi="宋体" w:eastAsia="宋体"/>
          <w:sz w:val="24"/>
        </w:rPr>
        <w:t>将投标</w:t>
      </w:r>
      <w:r>
        <w:rPr>
          <w:rFonts w:hint="eastAsia" w:ascii="宋体" w:hAnsi="宋体" w:eastAsia="宋体"/>
          <w:sz w:val="24"/>
        </w:rPr>
        <w:t>人</w:t>
      </w:r>
      <w:r>
        <w:rPr>
          <w:rFonts w:ascii="宋体" w:hAnsi="宋体" w:eastAsia="宋体"/>
          <w:sz w:val="24"/>
        </w:rPr>
        <w:t>的技术资信分加上根据上述标准计算出的价格分，即为该投标</w:t>
      </w:r>
      <w:r>
        <w:rPr>
          <w:rFonts w:hint="eastAsia" w:ascii="宋体" w:hAnsi="宋体" w:eastAsia="宋体"/>
          <w:sz w:val="24"/>
        </w:rPr>
        <w:t>人</w:t>
      </w:r>
      <w:r>
        <w:rPr>
          <w:rFonts w:ascii="宋体" w:hAnsi="宋体" w:eastAsia="宋体"/>
          <w:sz w:val="24"/>
        </w:rPr>
        <w:t>的综合总得分。</w:t>
      </w: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B322A"/>
    <w:multiLevelType w:val="multilevel"/>
    <w:tmpl w:val="0A8B322A"/>
    <w:lvl w:ilvl="0" w:tentative="0">
      <w:start w:val="1"/>
      <w:numFmt w:val="decimal"/>
      <w:suff w:val="space"/>
      <w:lvlText w:val="（%1）"/>
      <w:lvlJc w:val="left"/>
      <w:pPr>
        <w:ind w:left="720" w:hanging="720"/>
      </w:pPr>
      <w:rPr>
        <w:rFonts w:hint="default"/>
        <w:color w:val="0D0D0D"/>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70E30DD"/>
    <w:multiLevelType w:val="multilevel"/>
    <w:tmpl w:val="170E30D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26F71A75"/>
    <w:multiLevelType w:val="multilevel"/>
    <w:tmpl w:val="26F71A7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8E8343D"/>
    <w:multiLevelType w:val="multilevel"/>
    <w:tmpl w:val="48E8343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1AA3DDF"/>
    <w:multiLevelType w:val="multilevel"/>
    <w:tmpl w:val="51AA3DDF"/>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59611ED9"/>
    <w:multiLevelType w:val="multilevel"/>
    <w:tmpl w:val="59611ED9"/>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16645AD"/>
    <w:multiLevelType w:val="multilevel"/>
    <w:tmpl w:val="616645AD"/>
    <w:lvl w:ilvl="0" w:tentative="0">
      <w:start w:val="1"/>
      <w:numFmt w:val="decimal"/>
      <w:lvlText w:val="%1."/>
      <w:lvlJc w:val="left"/>
      <w:pPr>
        <w:ind w:left="420" w:hanging="420"/>
      </w:pPr>
      <w:rPr>
        <w:rFonts w:hint="default"/>
        <w:b w:val="0"/>
        <w:color w:val="0D0D0D"/>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BC52438"/>
    <w:multiLevelType w:val="multilevel"/>
    <w:tmpl w:val="6BC52438"/>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31D73D1"/>
    <w:multiLevelType w:val="multilevel"/>
    <w:tmpl w:val="731D73D1"/>
    <w:lvl w:ilvl="0" w:tentative="0">
      <w:start w:val="1"/>
      <w:numFmt w:val="decimal"/>
      <w:suff w:val="space"/>
      <w:lvlText w:val="（%1）"/>
      <w:lvlJc w:val="left"/>
      <w:pPr>
        <w:ind w:left="720" w:hanging="720"/>
      </w:pPr>
      <w:rPr>
        <w:rFonts w:hint="default"/>
        <w:color w:val="0D0D0D"/>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8"/>
  </w:num>
  <w:num w:numId="4">
    <w:abstractNumId w:val="6"/>
  </w:num>
  <w:num w:numId="5">
    <w:abstractNumId w:val="2"/>
  </w:num>
  <w:num w:numId="6">
    <w:abstractNumId w:val="5"/>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5654FC"/>
    <w:rsid w:val="0FDC72B4"/>
    <w:rsid w:val="4B5654FC"/>
    <w:rsid w:val="4C2E0845"/>
    <w:rsid w:val="7DB30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rPr>
      <w:rFonts w:ascii="宋体" w:hAnsi="Arial"/>
      <w:sz w:val="28"/>
    </w:rPr>
  </w:style>
  <w:style w:type="paragraph" w:styleId="3">
    <w:name w:val="Body Text Indent"/>
    <w:basedOn w:val="1"/>
    <w:next w:val="4"/>
    <w:qFormat/>
    <w:uiPriority w:val="0"/>
    <w:pPr>
      <w:ind w:firstLine="645"/>
    </w:pPr>
    <w:rPr>
      <w:rFonts w:ascii="楷体_GB2312" w:eastAsia="楷体_GB2312"/>
      <w:sz w:val="32"/>
      <w:szCs w:val="20"/>
    </w:rPr>
  </w:style>
  <w:style w:type="paragraph" w:styleId="4">
    <w:name w:val="envelope return"/>
    <w:basedOn w:val="1"/>
    <w:qFormat/>
    <w:uiPriority w:val="0"/>
    <w:pPr>
      <w:snapToGrid w:val="0"/>
    </w:pPr>
    <w:rPr>
      <w:rFonts w:ascii="Arial" w:hAnsi="Arial"/>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qFormat/>
    <w:uiPriority w:val="0"/>
    <w:pPr>
      <w:ind w:left="420" w:firstLine="420" w:firstLineChars="200"/>
    </w:pPr>
  </w:style>
  <w:style w:type="paragraph" w:customStyle="1" w:styleId="9">
    <w:name w:val="xl31"/>
    <w:basedOn w:val="1"/>
    <w:qFormat/>
    <w:uiPriority w:val="0"/>
    <w:pPr>
      <w:widowControl/>
      <w:spacing w:before="100" w:beforeAutospacing="1" w:after="100" w:afterAutospacing="1"/>
      <w:jc w:val="center"/>
    </w:pPr>
    <w:rPr>
      <w:b/>
      <w:bCs/>
      <w:kern w:val="0"/>
      <w:sz w:val="28"/>
      <w:szCs w:val="28"/>
    </w:rPr>
  </w:style>
  <w:style w:type="paragraph" w:customStyle="1" w:styleId="10">
    <w:name w:val="D&amp;L"/>
    <w:basedOn w:val="5"/>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
    <w:name w:val="表"/>
    <w:basedOn w:val="1"/>
    <w:qFormat/>
    <w:uiPriority w:val="0"/>
    <w:pPr>
      <w:widowControl/>
      <w:jc w:val="center"/>
      <w:textAlignment w:val="center"/>
    </w:pPr>
    <w:rPr>
      <w:rFonts w:cs="Times New Roman"/>
      <w:color w:val="0D0D0D"/>
      <w:szCs w:val="21"/>
    </w:rPr>
  </w:style>
  <w:style w:type="character" w:customStyle="1" w:styleId="12">
    <w:name w:val="font51"/>
    <w:qFormat/>
    <w:uiPriority w:val="0"/>
    <w:rPr>
      <w:rFonts w:hint="eastAsia" w:ascii="宋体" w:hAnsi="宋体" w:eastAsia="宋体" w:cs="宋体"/>
      <w:color w:val="000000"/>
      <w:sz w:val="18"/>
      <w:szCs w:val="18"/>
      <w:u w:val="none"/>
    </w:rPr>
  </w:style>
  <w:style w:type="paragraph" w:customStyle="1" w:styleId="13">
    <w:name w:val="表格正文"/>
    <w:qFormat/>
    <w:uiPriority w:val="0"/>
    <w:rPr>
      <w:rFonts w:ascii="宋体" w:hAnsi="宋体" w:eastAsia="宋体" w:cs="Times New Roman"/>
      <w:kern w:val="2"/>
      <w:sz w:val="21"/>
      <w:szCs w:val="21"/>
      <w:lang w:val="en-US" w:eastAsia="zh-CN" w:bidi="ar-SA"/>
    </w:rPr>
  </w:style>
  <w:style w:type="paragraph" w:styleId="14">
    <w:name w:val="List Paragraph"/>
    <w:basedOn w:val="1"/>
    <w:qFormat/>
    <w:uiPriority w:val="34"/>
    <w:pPr>
      <w:ind w:firstLine="420" w:firstLineChars="200"/>
    </w:pPr>
  </w:style>
  <w:style w:type="paragraph" w:customStyle="1" w:styleId="15">
    <w:name w:val="纯文本2"/>
    <w:basedOn w:val="1"/>
    <w:qFormat/>
    <w:uiPriority w:val="0"/>
    <w:pPr>
      <w:adjustRightInd w:val="0"/>
      <w:textAlignment w:val="baseline"/>
    </w:pPr>
    <w:rPr>
      <w:rFonts w:ascii="宋体" w:hAnsi="Courier New" w:eastAsia="楷体_GB2312"/>
      <w:sz w:val="2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潮州市直及下属单位</Company>
  <Pages>1</Pages>
  <Words>0</Words>
  <Characters>0</Characters>
  <Lines>0</Lines>
  <Paragraphs>0</Paragraphs>
  <TotalTime>1</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2021-08-30T02:48:00Z</dcterms:created>
  <dc:creator>NTKO</dc:creator>
  <cp:lastModifiedBy>NTKO</cp:lastModifiedBy>
  <dcterms:modified xsi:type="dcterms:W3CDTF">2021-08-30T09:53:09Z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